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99" w:rsidRPr="00BA3D84" w:rsidRDefault="00357FE3" w:rsidP="0098241A">
      <w:pPr>
        <w:spacing w:line="480" w:lineRule="auto"/>
        <w:jc w:val="both"/>
      </w:pPr>
      <w:bookmarkStart w:id="0" w:name="_GoBack"/>
      <w:bookmarkEnd w:id="0"/>
      <w:r>
        <w:t>G</w:t>
      </w:r>
      <w:r w:rsidR="00901E33">
        <w:t xml:space="preserve">overnments </w:t>
      </w:r>
      <w:r>
        <w:t xml:space="preserve">are often accused of </w:t>
      </w:r>
      <w:r w:rsidR="00901E33">
        <w:t>respond</w:t>
      </w:r>
      <w:r>
        <w:t>ing</w:t>
      </w:r>
      <w:r w:rsidR="00901E33">
        <w:t xml:space="preserve"> to terrorism by restricting human rights</w:t>
      </w:r>
      <w:r w:rsidR="001C75BF">
        <w:t>, including the right not to be tortured</w:t>
      </w:r>
      <w:r w:rsidR="00901E33">
        <w:t xml:space="preserve">. </w:t>
      </w:r>
      <w:r w:rsidR="0098241A">
        <w:t>I</w:t>
      </w:r>
      <w:r w:rsidR="001C75BF">
        <w:t>n the decade following the September 11, 2001</w:t>
      </w:r>
      <w:r w:rsidR="0004441F">
        <w:t>,</w:t>
      </w:r>
      <w:r w:rsidR="001C75BF">
        <w:t xml:space="preserve"> </w:t>
      </w:r>
      <w:r w:rsidR="0098241A">
        <w:t xml:space="preserve">nongovernmental organizations (NGOs) </w:t>
      </w:r>
      <w:r w:rsidR="00E934EA">
        <w:t>accused</w:t>
      </w:r>
      <w:r w:rsidR="0098241A">
        <w:t xml:space="preserve"> </w:t>
      </w:r>
      <w:r w:rsidR="00E934EA">
        <w:t xml:space="preserve">United States </w:t>
      </w:r>
      <w:r w:rsidR="005214BB">
        <w:t xml:space="preserve">counterterrorism officials </w:t>
      </w:r>
      <w:r w:rsidR="00E934EA">
        <w:t>of</w:t>
      </w:r>
      <w:r w:rsidR="00901E33">
        <w:t xml:space="preserve"> </w:t>
      </w:r>
      <w:r w:rsidR="0098241A">
        <w:t xml:space="preserve">the </w:t>
      </w:r>
      <w:r w:rsidR="001C75BF">
        <w:t xml:space="preserve">systematic and widespread </w:t>
      </w:r>
      <w:r w:rsidR="00901E33">
        <w:t>torture of detainees</w:t>
      </w:r>
      <w:r w:rsidR="001C75BF">
        <w:t xml:space="preserve"> suspected of involvement in terrorist plots</w:t>
      </w:r>
      <w:r w:rsidR="00901E33">
        <w:t xml:space="preserve"> </w:t>
      </w:r>
      <w:r w:rsidR="00901E33" w:rsidRPr="00043883">
        <w:rPr>
          <w:color w:val="000000"/>
        </w:rPr>
        <w:t xml:space="preserve">(Human Rights Watch 2004). </w:t>
      </w:r>
      <w:r w:rsidR="00901E33">
        <w:rPr>
          <w:color w:val="000000"/>
        </w:rPr>
        <w:t xml:space="preserve">During the same period, </w:t>
      </w:r>
      <w:r>
        <w:rPr>
          <w:color w:val="000000"/>
        </w:rPr>
        <w:t xml:space="preserve">other </w:t>
      </w:r>
      <w:r w:rsidR="00901E33">
        <w:rPr>
          <w:color w:val="000000"/>
        </w:rPr>
        <w:t xml:space="preserve">countries </w:t>
      </w:r>
      <w:r w:rsidR="0098241A">
        <w:rPr>
          <w:color w:val="000000"/>
        </w:rPr>
        <w:t xml:space="preserve">were </w:t>
      </w:r>
      <w:r w:rsidR="00E934EA">
        <w:rPr>
          <w:color w:val="000000"/>
        </w:rPr>
        <w:t xml:space="preserve">similarly </w:t>
      </w:r>
      <w:r w:rsidR="0098241A">
        <w:rPr>
          <w:color w:val="000000"/>
        </w:rPr>
        <w:t xml:space="preserve">accused </w:t>
      </w:r>
      <w:r w:rsidR="00E934EA">
        <w:rPr>
          <w:color w:val="000000"/>
        </w:rPr>
        <w:t xml:space="preserve">of </w:t>
      </w:r>
      <w:r w:rsidR="003073D3">
        <w:rPr>
          <w:color w:val="000000"/>
        </w:rPr>
        <w:t xml:space="preserve">instituting </w:t>
      </w:r>
      <w:r w:rsidR="00901E33">
        <w:rPr>
          <w:color w:val="000000"/>
        </w:rPr>
        <w:t xml:space="preserve">new counter-terrorism </w:t>
      </w:r>
      <w:r w:rsidR="003073D3">
        <w:rPr>
          <w:color w:val="000000"/>
        </w:rPr>
        <w:t xml:space="preserve">laws and </w:t>
      </w:r>
      <w:r w:rsidR="00901E33">
        <w:rPr>
          <w:color w:val="000000"/>
        </w:rPr>
        <w:t>policies that eroded human rights</w:t>
      </w:r>
      <w:r w:rsidR="001C75BF">
        <w:rPr>
          <w:color w:val="000000"/>
        </w:rPr>
        <w:t xml:space="preserve"> </w:t>
      </w:r>
      <w:r w:rsidR="00EF1DCE">
        <w:rPr>
          <w:color w:val="000000"/>
        </w:rPr>
        <w:t xml:space="preserve">and civil liberties </w:t>
      </w:r>
      <w:r w:rsidR="00901E33" w:rsidRPr="00043883">
        <w:rPr>
          <w:color w:val="000000"/>
        </w:rPr>
        <w:t>(Whitaker 200</w:t>
      </w:r>
      <w:r w:rsidR="00901E33">
        <w:rPr>
          <w:color w:val="000000"/>
        </w:rPr>
        <w:t>7</w:t>
      </w:r>
      <w:r w:rsidR="00901E33" w:rsidRPr="00043883">
        <w:rPr>
          <w:color w:val="000000"/>
        </w:rPr>
        <w:t>)</w:t>
      </w:r>
      <w:r w:rsidR="00C024EC">
        <w:rPr>
          <w:color w:val="000000"/>
        </w:rPr>
        <w:t>.</w:t>
      </w:r>
      <w:r w:rsidR="00EF1DCE">
        <w:rPr>
          <w:color w:val="000000"/>
        </w:rPr>
        <w:t xml:space="preserve"> </w:t>
      </w:r>
      <w:r w:rsidR="00E934EA">
        <w:rPr>
          <w:color w:val="000000"/>
        </w:rPr>
        <w:t>These recent accusations are</w:t>
      </w:r>
      <w:r w:rsidR="0004441F">
        <w:rPr>
          <w:color w:val="000000"/>
        </w:rPr>
        <w:t xml:space="preserve"> consistent with a</w:t>
      </w:r>
      <w:r w:rsidR="00EF1DCE">
        <w:rPr>
          <w:color w:val="000000"/>
        </w:rPr>
        <w:t xml:space="preserve"> larger historical pattern in which governments threate</w:t>
      </w:r>
      <w:r w:rsidR="00C1369B">
        <w:rPr>
          <w:color w:val="000000"/>
        </w:rPr>
        <w:t xml:space="preserve">ned by terrorism </w:t>
      </w:r>
      <w:r w:rsidR="0098241A">
        <w:rPr>
          <w:color w:val="000000"/>
        </w:rPr>
        <w:t xml:space="preserve">have </w:t>
      </w:r>
      <w:r w:rsidR="00C1369B">
        <w:rPr>
          <w:color w:val="000000"/>
        </w:rPr>
        <w:t>engage</w:t>
      </w:r>
      <w:r w:rsidR="0098241A">
        <w:rPr>
          <w:color w:val="000000"/>
        </w:rPr>
        <w:t>d</w:t>
      </w:r>
      <w:r w:rsidR="00C1369B">
        <w:rPr>
          <w:color w:val="000000"/>
        </w:rPr>
        <w:t xml:space="preserve"> in more physically</w:t>
      </w:r>
      <w:r w:rsidR="0004441F">
        <w:rPr>
          <w:color w:val="000000"/>
        </w:rPr>
        <w:t xml:space="preserve"> </w:t>
      </w:r>
      <w:r w:rsidR="00C1369B">
        <w:rPr>
          <w:color w:val="000000"/>
        </w:rPr>
        <w:t>abusive policing and interrogation</w:t>
      </w:r>
      <w:r w:rsidR="003073D3">
        <w:rPr>
          <w:color w:val="000000"/>
        </w:rPr>
        <w:t xml:space="preserve"> techniques against suspected terrorists and supporters</w:t>
      </w:r>
      <w:r w:rsidR="00C1369B">
        <w:rPr>
          <w:color w:val="000000"/>
        </w:rPr>
        <w:t xml:space="preserve">. </w:t>
      </w:r>
      <w:r w:rsidR="008D60B7">
        <w:rPr>
          <w:color w:val="000000"/>
        </w:rPr>
        <w:t xml:space="preserve">Government officials in a set of cases </w:t>
      </w:r>
      <w:r w:rsidR="00C1369B">
        <w:rPr>
          <w:color w:val="000000"/>
        </w:rPr>
        <w:t xml:space="preserve">as diverse as military regimes in </w:t>
      </w:r>
      <w:r w:rsidR="008D60B7">
        <w:rPr>
          <w:color w:val="000000"/>
        </w:rPr>
        <w:t>Central and South America</w:t>
      </w:r>
      <w:r w:rsidR="00C1369B">
        <w:rPr>
          <w:color w:val="000000"/>
        </w:rPr>
        <w:t xml:space="preserve"> in the 1970s</w:t>
      </w:r>
      <w:r w:rsidR="00883285">
        <w:rPr>
          <w:color w:val="000000"/>
        </w:rPr>
        <w:t xml:space="preserve"> (Sullivan, 2011)</w:t>
      </w:r>
      <w:r w:rsidR="00C1369B">
        <w:rPr>
          <w:color w:val="000000"/>
        </w:rPr>
        <w:t>, democracies such as Britain, Spain and India in the 1970s and Turkey in the 1990s</w:t>
      </w:r>
      <w:r w:rsidR="00883285">
        <w:rPr>
          <w:color w:val="000000"/>
        </w:rPr>
        <w:t xml:space="preserve"> (Art and Richardson, 2007)</w:t>
      </w:r>
      <w:r>
        <w:rPr>
          <w:color w:val="000000"/>
        </w:rPr>
        <w:t>,</w:t>
      </w:r>
      <w:r w:rsidR="00C1369B">
        <w:rPr>
          <w:color w:val="000000"/>
        </w:rPr>
        <w:t xml:space="preserve"> and revolutionary government such as the Islamic Republic of Iran in the early 1980s</w:t>
      </w:r>
      <w:r w:rsidR="00883285">
        <w:rPr>
          <w:color w:val="000000"/>
        </w:rPr>
        <w:t xml:space="preserve"> (</w:t>
      </w:r>
      <w:proofErr w:type="spellStart"/>
      <w:r w:rsidR="00883285">
        <w:rPr>
          <w:color w:val="000000"/>
        </w:rPr>
        <w:t>Rejali</w:t>
      </w:r>
      <w:proofErr w:type="spellEnd"/>
      <w:r w:rsidR="00883285">
        <w:rPr>
          <w:color w:val="000000"/>
        </w:rPr>
        <w:t>, 1994)</w:t>
      </w:r>
      <w:r w:rsidR="00C1369B">
        <w:rPr>
          <w:color w:val="000000"/>
        </w:rPr>
        <w:t xml:space="preserve"> all responded </w:t>
      </w:r>
      <w:r w:rsidR="00E934EA">
        <w:rPr>
          <w:color w:val="000000"/>
        </w:rPr>
        <w:t xml:space="preserve">to terrorist attacks by increasing </w:t>
      </w:r>
      <w:r w:rsidR="009B5715">
        <w:rPr>
          <w:color w:val="000000"/>
        </w:rPr>
        <w:t xml:space="preserve">torture and </w:t>
      </w:r>
      <w:r w:rsidR="00E934EA">
        <w:rPr>
          <w:color w:val="000000"/>
        </w:rPr>
        <w:t xml:space="preserve">other </w:t>
      </w:r>
      <w:r w:rsidR="009B5715">
        <w:rPr>
          <w:color w:val="000000"/>
        </w:rPr>
        <w:t>physical abuse</w:t>
      </w:r>
      <w:r w:rsidR="00C1369B">
        <w:rPr>
          <w:color w:val="000000"/>
        </w:rPr>
        <w:t xml:space="preserve">.  </w:t>
      </w:r>
    </w:p>
    <w:p w:rsidR="005207CB" w:rsidRPr="00B72461" w:rsidRDefault="00E934EA">
      <w:pPr>
        <w:spacing w:line="480" w:lineRule="auto"/>
        <w:ind w:firstLine="720"/>
        <w:jc w:val="both"/>
      </w:pPr>
      <w:r>
        <w:t>In spite of these accusations</w:t>
      </w:r>
      <w:r w:rsidR="0098241A">
        <w:t xml:space="preserve">, </w:t>
      </w:r>
      <w:r w:rsidR="005E0C5C" w:rsidRPr="00B72461">
        <w:t>there is</w:t>
      </w:r>
      <w:r w:rsidR="00DB7ECD">
        <w:t xml:space="preserve"> </w:t>
      </w:r>
      <w:r w:rsidR="00883285">
        <w:t xml:space="preserve">surprisingly </w:t>
      </w:r>
      <w:r w:rsidR="005E0C5C" w:rsidRPr="00B72461">
        <w:t xml:space="preserve">little </w:t>
      </w:r>
      <w:r w:rsidR="00640AB8">
        <w:t>quantitative</w:t>
      </w:r>
      <w:r w:rsidR="005E0C5C" w:rsidRPr="00B72461">
        <w:t xml:space="preserve"> evidence that states engage in higher levels of torture in the wake of terrorist attacks. </w:t>
      </w:r>
      <w:r w:rsidR="00F27CEC">
        <w:t>Comparing</w:t>
      </w:r>
      <w:r w:rsidR="00626873" w:rsidRPr="00B72461">
        <w:t xml:space="preserve"> the experiences of five </w:t>
      </w:r>
      <w:r w:rsidR="00514C45" w:rsidRPr="00B72461">
        <w:t>democracies</w:t>
      </w:r>
      <w:r w:rsidR="000D7093">
        <w:t xml:space="preserve"> faced with terrorist threats</w:t>
      </w:r>
      <w:r w:rsidR="00626873" w:rsidRPr="00B72461">
        <w:t xml:space="preserve">, Charters (1994) concludes that </w:t>
      </w:r>
      <w:r w:rsidR="00D95A80">
        <w:t>these</w:t>
      </w:r>
      <w:r w:rsidR="00514C45" w:rsidRPr="00B72461">
        <w:t xml:space="preserve"> </w:t>
      </w:r>
      <w:r w:rsidR="00626873" w:rsidRPr="00B72461">
        <w:t>governments implement</w:t>
      </w:r>
      <w:r w:rsidR="005C30B6" w:rsidRPr="00B72461">
        <w:t>ed</w:t>
      </w:r>
      <w:r w:rsidR="00626873" w:rsidRPr="00B72461">
        <w:t xml:space="preserve"> effective counterterrorism policies </w:t>
      </w:r>
      <w:r w:rsidR="00626873" w:rsidRPr="00B72461">
        <w:rPr>
          <w:i/>
          <w:iCs/>
        </w:rPr>
        <w:t>without</w:t>
      </w:r>
      <w:r w:rsidR="00626873" w:rsidRPr="00B72461">
        <w:t xml:space="preserve"> resorting to widespread torture or </w:t>
      </w:r>
      <w:r w:rsidR="00514C45" w:rsidRPr="00B72461">
        <w:t xml:space="preserve">the </w:t>
      </w:r>
      <w:r w:rsidR="00626873" w:rsidRPr="00B72461">
        <w:t>abuse of other physical integrity rights</w:t>
      </w:r>
      <w:r w:rsidR="00130009">
        <w:t>, thereby obviating the security value of torture for governments</w:t>
      </w:r>
      <w:r w:rsidR="00626873" w:rsidRPr="00B72461">
        <w:t xml:space="preserve">. Walsh and Piazza (2009) </w:t>
      </w:r>
      <w:r w:rsidR="00D95A80">
        <w:t>find</w:t>
      </w:r>
      <w:r w:rsidR="00626873" w:rsidRPr="00B72461">
        <w:t xml:space="preserve"> that transnational terrorism leads governments to engage in more extrajudicial killings and disappearances, </w:t>
      </w:r>
      <w:r w:rsidR="00626EC7" w:rsidRPr="00B72461">
        <w:t xml:space="preserve">but </w:t>
      </w:r>
      <w:r w:rsidR="00626873" w:rsidRPr="00B72461">
        <w:t xml:space="preserve">they </w:t>
      </w:r>
      <w:r w:rsidR="00D95A80">
        <w:t>discover</w:t>
      </w:r>
      <w:r w:rsidR="00626873" w:rsidRPr="00B72461">
        <w:t xml:space="preserve"> no link between terrorism and </w:t>
      </w:r>
      <w:r w:rsidR="00D95A80">
        <w:t xml:space="preserve">acts of </w:t>
      </w:r>
      <w:r w:rsidR="00663A1E">
        <w:t xml:space="preserve">government </w:t>
      </w:r>
      <w:r w:rsidR="00626873" w:rsidRPr="00B72461">
        <w:t xml:space="preserve">torture. These </w:t>
      </w:r>
      <w:r w:rsidR="00626873" w:rsidRPr="00B72461">
        <w:lastRenderedPageBreak/>
        <w:t xml:space="preserve">empirical findings contradict a widely held assumption, frequently articulated by human rights </w:t>
      </w:r>
      <w:r w:rsidR="00514C45" w:rsidRPr="00B72461">
        <w:t>nongovernmental organizations (NGOs)</w:t>
      </w:r>
      <w:r w:rsidR="000D0A9D">
        <w:t xml:space="preserve"> and the global news media</w:t>
      </w:r>
      <w:r w:rsidR="00626873" w:rsidRPr="00B72461">
        <w:t xml:space="preserve">, that </w:t>
      </w:r>
      <w:r w:rsidR="00E22A58" w:rsidRPr="00B72461">
        <w:t xml:space="preserve">state </w:t>
      </w:r>
      <w:r w:rsidR="00626873" w:rsidRPr="00B72461">
        <w:t xml:space="preserve">authorities regularly respond to terrorism </w:t>
      </w:r>
      <w:r w:rsidR="00663A1E">
        <w:t>by increasing the tactical use of</w:t>
      </w:r>
      <w:r w:rsidR="005C30B6" w:rsidRPr="00B72461">
        <w:t xml:space="preserve"> </w:t>
      </w:r>
      <w:r w:rsidR="00626873" w:rsidRPr="00B72461">
        <w:t>torture</w:t>
      </w:r>
      <w:r w:rsidR="00D95A80">
        <w:t xml:space="preserve"> and other forms of </w:t>
      </w:r>
      <w:proofErr w:type="gramStart"/>
      <w:r w:rsidR="00D95A80">
        <w:t>ill</w:t>
      </w:r>
      <w:r w:rsidR="00D00693">
        <w:t>-</w:t>
      </w:r>
      <w:r w:rsidR="00D95A80">
        <w:t>treatment</w:t>
      </w:r>
      <w:proofErr w:type="gramEnd"/>
      <w:r w:rsidR="00626873" w:rsidRPr="00B72461">
        <w:t xml:space="preserve">. </w:t>
      </w:r>
    </w:p>
    <w:p w:rsidR="00626873" w:rsidRPr="00B72461" w:rsidRDefault="00626873" w:rsidP="00470AA7">
      <w:pPr>
        <w:spacing w:line="480" w:lineRule="auto"/>
        <w:jc w:val="both"/>
      </w:pPr>
      <w:r w:rsidRPr="00B72461">
        <w:tab/>
      </w:r>
      <w:r w:rsidR="005C30B6" w:rsidRPr="00B72461">
        <w:t>W</w:t>
      </w:r>
      <w:r w:rsidR="00E22A58" w:rsidRPr="00B72461">
        <w:t xml:space="preserve">e address </w:t>
      </w:r>
      <w:r w:rsidR="00106D7D" w:rsidRPr="00B72461">
        <w:t xml:space="preserve">this </w:t>
      </w:r>
      <w:r w:rsidRPr="00B72461">
        <w:t xml:space="preserve">contradiction </w:t>
      </w:r>
      <w:r w:rsidR="00796745">
        <w:t xml:space="preserve">by </w:t>
      </w:r>
      <w:r w:rsidR="00E22A58" w:rsidRPr="00B72461">
        <w:t xml:space="preserve">arguing </w:t>
      </w:r>
      <w:r w:rsidRPr="00B72461">
        <w:t xml:space="preserve">that </w:t>
      </w:r>
      <w:r w:rsidR="00A0659E" w:rsidRPr="00B72461">
        <w:t>state incentives</w:t>
      </w:r>
      <w:r w:rsidR="00E22A58" w:rsidRPr="00B72461">
        <w:t xml:space="preserve"> to violate human rights differ across government agencies and types of </w:t>
      </w:r>
      <w:r w:rsidRPr="00B72461">
        <w:t>terrorist attacks</w:t>
      </w:r>
      <w:r w:rsidR="00E22A58" w:rsidRPr="00B72461">
        <w:t xml:space="preserve">. </w:t>
      </w:r>
      <w:r w:rsidR="00D95A80">
        <w:t>B</w:t>
      </w:r>
      <w:r w:rsidR="00A04873" w:rsidRPr="00B72461">
        <w:t xml:space="preserve">ecause an </w:t>
      </w:r>
      <w:r w:rsidRPr="00B72461">
        <w:t xml:space="preserve">important objective of the military is to defend </w:t>
      </w:r>
      <w:r w:rsidR="005D7B0C" w:rsidRPr="00B72461">
        <w:t>against</w:t>
      </w:r>
      <w:r w:rsidRPr="00B72461">
        <w:t xml:space="preserve"> external enemies</w:t>
      </w:r>
      <w:r w:rsidR="00E22A58" w:rsidRPr="00B72461">
        <w:t>,</w:t>
      </w:r>
      <w:r w:rsidR="00D95A80">
        <w:t xml:space="preserve"> we </w:t>
      </w:r>
      <w:r w:rsidR="00CF4E14">
        <w:t xml:space="preserve">argue </w:t>
      </w:r>
      <w:r w:rsidR="00D95A80">
        <w:t>that</w:t>
      </w:r>
      <w:r w:rsidR="00E22A58" w:rsidRPr="00B72461">
        <w:t xml:space="preserve"> m</w:t>
      </w:r>
      <w:r w:rsidRPr="00B72461">
        <w:t>ilitary forces</w:t>
      </w:r>
      <w:r w:rsidR="0080662E">
        <w:t xml:space="preserve"> </w:t>
      </w:r>
      <w:r w:rsidR="00887473" w:rsidRPr="00B72461">
        <w:t xml:space="preserve">respond to </w:t>
      </w:r>
      <w:r w:rsidR="00D55238" w:rsidRPr="00D55238">
        <w:t>transnational</w:t>
      </w:r>
      <w:r w:rsidR="00E22A58" w:rsidRPr="00B72461">
        <w:t xml:space="preserve"> </w:t>
      </w:r>
      <w:r w:rsidR="00887473" w:rsidRPr="00B72461">
        <w:t xml:space="preserve">terrorist </w:t>
      </w:r>
      <w:r w:rsidRPr="00B72461">
        <w:t>attacks</w:t>
      </w:r>
      <w:r w:rsidR="00DA59F6">
        <w:t>—not domestic terrorist incidents—</w:t>
      </w:r>
      <w:r w:rsidR="00A04873" w:rsidRPr="00B72461">
        <w:t>with heightened to</w:t>
      </w:r>
      <w:r w:rsidR="005D7B0C" w:rsidRPr="00B72461">
        <w:t>rture</w:t>
      </w:r>
      <w:r w:rsidRPr="00B72461">
        <w:t xml:space="preserve">. </w:t>
      </w:r>
      <w:r w:rsidR="00967C6C" w:rsidRPr="00B72461">
        <w:t>Further</w:t>
      </w:r>
      <w:r w:rsidR="00DA59F6">
        <w:t>more</w:t>
      </w:r>
      <w:r w:rsidR="00967C6C" w:rsidRPr="00B72461">
        <w:t xml:space="preserve">, </w:t>
      </w:r>
      <w:r w:rsidR="00DA59F6">
        <w:t>b</w:t>
      </w:r>
      <w:r w:rsidR="006F3ABC" w:rsidRPr="00B72461">
        <w:t>ecause of the accountability generated by democratic institutions, democracies are more likely than autocracies to increase military torture</w:t>
      </w:r>
      <w:r w:rsidR="00DA59F6">
        <w:t xml:space="preserve"> </w:t>
      </w:r>
      <w:r w:rsidR="00DA59F6" w:rsidRPr="00B72461">
        <w:t>following a transnational attack</w:t>
      </w:r>
      <w:r w:rsidR="0080662E">
        <w:t xml:space="preserve">. </w:t>
      </w:r>
      <w:r w:rsidR="00DA59F6">
        <w:t>T</w:t>
      </w:r>
      <w:r w:rsidR="009E5AA7">
        <w:t>h</w:t>
      </w:r>
      <w:r w:rsidR="00DA59F6">
        <w:t xml:space="preserve">e finding that </w:t>
      </w:r>
      <w:r w:rsidR="00DA59F6" w:rsidRPr="00B72461">
        <w:t>democratic institutions are unlikely to ameliorate the effect of transnational terrorist attacks on military torture</w:t>
      </w:r>
      <w:r w:rsidR="00DA59F6">
        <w:t xml:space="preserve"> </w:t>
      </w:r>
      <w:r w:rsidR="009D4064" w:rsidRPr="00B72461">
        <w:t xml:space="preserve">stands in contrast </w:t>
      </w:r>
      <w:proofErr w:type="gramStart"/>
      <w:r w:rsidR="009D4064" w:rsidRPr="00B72461">
        <w:t>to</w:t>
      </w:r>
      <w:proofErr w:type="gramEnd"/>
      <w:r w:rsidR="009D4064" w:rsidRPr="00B72461">
        <w:t xml:space="preserve"> much of the human rights literature, which typically concludes that democracy reduces </w:t>
      </w:r>
      <w:r w:rsidR="00DA59F6">
        <w:t xml:space="preserve">the </w:t>
      </w:r>
      <w:r w:rsidR="009D4064" w:rsidRPr="00B72461">
        <w:t xml:space="preserve">abuse of physical integrity rights. </w:t>
      </w:r>
    </w:p>
    <w:p w:rsidR="00626873" w:rsidRPr="00B72461" w:rsidRDefault="00D95A80">
      <w:pPr>
        <w:spacing w:line="480" w:lineRule="auto"/>
        <w:ind w:firstLine="720"/>
        <w:jc w:val="both"/>
      </w:pPr>
      <w:r>
        <w:t>In what follows, w</w:t>
      </w:r>
      <w:r w:rsidR="00626873" w:rsidRPr="00B72461">
        <w:t xml:space="preserve">e present a theory about the conditions under which </w:t>
      </w:r>
      <w:r w:rsidR="009E5AA7">
        <w:t xml:space="preserve">transnational </w:t>
      </w:r>
      <w:r w:rsidR="008E2EB9">
        <w:t>terrorism</w:t>
      </w:r>
      <w:r w:rsidR="00626873" w:rsidRPr="00B72461">
        <w:t xml:space="preserve"> lead</w:t>
      </w:r>
      <w:r w:rsidR="008E2EB9">
        <w:t>s</w:t>
      </w:r>
      <w:r w:rsidR="00626873" w:rsidRPr="00B72461">
        <w:t xml:space="preserve"> to increased </w:t>
      </w:r>
      <w:r w:rsidR="009E5AA7">
        <w:t xml:space="preserve">military </w:t>
      </w:r>
      <w:r w:rsidR="001820BF">
        <w:t>torture</w:t>
      </w:r>
      <w:r w:rsidR="00626873" w:rsidRPr="00B72461">
        <w:t xml:space="preserve">. We test our hypotheses using terrorism data that distinguishes between transnational and domestic </w:t>
      </w:r>
      <w:r w:rsidR="00CF4E14">
        <w:t xml:space="preserve">terrorist </w:t>
      </w:r>
      <w:r w:rsidR="00626873" w:rsidRPr="00B72461">
        <w:t xml:space="preserve">attacks and newly </w:t>
      </w:r>
      <w:r w:rsidR="008E2EB9">
        <w:t>available</w:t>
      </w:r>
      <w:r w:rsidR="008E2EB9" w:rsidRPr="00B72461">
        <w:t xml:space="preserve"> </w:t>
      </w:r>
      <w:r w:rsidR="00626873" w:rsidRPr="00B72461">
        <w:t xml:space="preserve">human rights data that disaggregates </w:t>
      </w:r>
      <w:r w:rsidR="008E2EB9">
        <w:t>government</w:t>
      </w:r>
      <w:r w:rsidR="008E2EB9" w:rsidRPr="00B72461">
        <w:t xml:space="preserve"> </w:t>
      </w:r>
      <w:r w:rsidR="00626873" w:rsidRPr="00B72461">
        <w:t xml:space="preserve">torture by the domestic agency responsible for the abuse. The </w:t>
      </w:r>
      <w:r w:rsidR="00596A82">
        <w:t>d</w:t>
      </w:r>
      <w:r w:rsidR="00626873" w:rsidRPr="00B72461">
        <w:t xml:space="preserve">isaggregation of </w:t>
      </w:r>
      <w:r w:rsidR="008E2EB9">
        <w:t>terrorism and torture</w:t>
      </w:r>
      <w:r w:rsidR="00626873" w:rsidRPr="00B72461">
        <w:t xml:space="preserve"> is key to our </w:t>
      </w:r>
      <w:r w:rsidR="00596A82">
        <w:t xml:space="preserve">empirical </w:t>
      </w:r>
      <w:r w:rsidR="00626873" w:rsidRPr="00B72461">
        <w:t>analysis</w:t>
      </w:r>
      <w:r w:rsidR="008F593A" w:rsidRPr="00B72461">
        <w:t>;</w:t>
      </w:r>
      <w:r w:rsidR="00626873" w:rsidRPr="00B72461">
        <w:t xml:space="preserve"> </w:t>
      </w:r>
      <w:r w:rsidR="004A070E" w:rsidRPr="00B72461">
        <w:t xml:space="preserve">we argue that </w:t>
      </w:r>
      <w:r w:rsidR="00626873" w:rsidRPr="00B72461">
        <w:t>over-aggregation is</w:t>
      </w:r>
      <w:r w:rsidR="008E2EB9">
        <w:t xml:space="preserve"> likely </w:t>
      </w:r>
      <w:r w:rsidR="00626873" w:rsidRPr="00B72461">
        <w:t xml:space="preserve">responsible for previous null </w:t>
      </w:r>
      <w:r w:rsidR="00CF4E14">
        <w:t xml:space="preserve">quantitative </w:t>
      </w:r>
      <w:r w:rsidR="00626873" w:rsidRPr="00B72461">
        <w:t>findings on the relationship between terrorism and torture (Piazza and Walsh</w:t>
      </w:r>
      <w:r w:rsidR="008E2EB9">
        <w:t xml:space="preserve"> </w:t>
      </w:r>
      <w:r w:rsidR="00BA7A63" w:rsidRPr="00B72461">
        <w:t>2009</w:t>
      </w:r>
      <w:r w:rsidR="00626873" w:rsidRPr="00B72461">
        <w:t>).</w:t>
      </w:r>
      <w:r w:rsidR="00D53A51">
        <w:t xml:space="preserve"> Two key findings emerge</w:t>
      </w:r>
      <w:r w:rsidR="008A348C">
        <w:t>:</w:t>
      </w:r>
      <w:r w:rsidR="00D53A51">
        <w:t xml:space="preserve"> First, terrorism</w:t>
      </w:r>
      <w:r w:rsidR="008A348C">
        <w:t xml:space="preserve"> has little effect on patterns of torture perpetrated by a country’s police or prison officials, but</w:t>
      </w:r>
      <w:r w:rsidR="00450C18">
        <w:t xml:space="preserve"> countries experiencing</w:t>
      </w:r>
      <w:r w:rsidR="00D53A51">
        <w:t xml:space="preserve"> </w:t>
      </w:r>
      <w:proofErr w:type="gramStart"/>
      <w:r w:rsidR="00D53A51">
        <w:lastRenderedPageBreak/>
        <w:t>transnational</w:t>
      </w:r>
      <w:proofErr w:type="gramEnd"/>
      <w:r w:rsidR="00D53A51">
        <w:t xml:space="preserve"> terrorism </w:t>
      </w:r>
      <w:r w:rsidR="00450C18">
        <w:t>see a sharp increase</w:t>
      </w:r>
      <w:r w:rsidR="00D53A51">
        <w:t xml:space="preserve"> </w:t>
      </w:r>
      <w:r w:rsidR="00450C18">
        <w:t>in</w:t>
      </w:r>
      <w:r w:rsidR="00D53A51">
        <w:t xml:space="preserve"> torture by military agencies. Second, this effect is conditioned by regime type; militaries in </w:t>
      </w:r>
      <w:r w:rsidR="00EF3E8C">
        <w:t>democracies</w:t>
      </w:r>
      <w:r w:rsidR="00D53A51">
        <w:t xml:space="preserve"> are more likely to respond to transnational terrorist attacks with torture</w:t>
      </w:r>
      <w:r w:rsidR="00EF3E8C">
        <w:t xml:space="preserve"> than militaries in non-democratic regimes</w:t>
      </w:r>
      <w:r w:rsidR="00D53A51">
        <w:t>.</w:t>
      </w:r>
      <w:r w:rsidR="00626873" w:rsidRPr="00B72461">
        <w:t xml:space="preserve"> </w:t>
      </w:r>
      <w:r w:rsidR="001D792D" w:rsidRPr="00B72461">
        <w:t>In the final section of the paper, w</w:t>
      </w:r>
      <w:r w:rsidR="00626873" w:rsidRPr="00B72461">
        <w:t xml:space="preserve">e discuss suggestions for future </w:t>
      </w:r>
      <w:r w:rsidR="00995078" w:rsidRPr="00B72461">
        <w:t>research</w:t>
      </w:r>
      <w:r w:rsidR="00626873" w:rsidRPr="00B72461">
        <w:t xml:space="preserve"> </w:t>
      </w:r>
      <w:r w:rsidR="004A070E" w:rsidRPr="00B72461">
        <w:t>on</w:t>
      </w:r>
      <w:r w:rsidR="00E86756" w:rsidRPr="00B72461">
        <w:t xml:space="preserve"> the relationship between</w:t>
      </w:r>
      <w:r w:rsidR="004A070E" w:rsidRPr="00B72461">
        <w:t xml:space="preserve"> terrorism and state repression</w:t>
      </w:r>
      <w:r w:rsidR="00E86756" w:rsidRPr="00B72461">
        <w:t>, as well as the</w:t>
      </w:r>
      <w:r w:rsidR="00626873" w:rsidRPr="00B72461">
        <w:t xml:space="preserve"> policy implications </w:t>
      </w:r>
      <w:r w:rsidR="00E86756" w:rsidRPr="00B72461">
        <w:t>of our work for</w:t>
      </w:r>
      <w:r w:rsidR="00626873" w:rsidRPr="00B72461">
        <w:t xml:space="preserve"> limiting violations </w:t>
      </w:r>
      <w:r w:rsidR="008E2EB9">
        <w:t xml:space="preserve">of human rights </w:t>
      </w:r>
      <w:r w:rsidR="00626873" w:rsidRPr="00B72461">
        <w:t xml:space="preserve">in </w:t>
      </w:r>
      <w:r w:rsidR="001D792D" w:rsidRPr="00B72461">
        <w:t xml:space="preserve">the </w:t>
      </w:r>
      <w:r w:rsidR="00626873" w:rsidRPr="00B72461">
        <w:t>name of counter-terror</w:t>
      </w:r>
      <w:r w:rsidR="001D792D" w:rsidRPr="00B72461">
        <w:t>ism</w:t>
      </w:r>
      <w:r w:rsidR="00626873" w:rsidRPr="00B72461">
        <w:t>.</w:t>
      </w:r>
    </w:p>
    <w:p w:rsidR="008F593A" w:rsidRPr="00B72461" w:rsidRDefault="008F593A" w:rsidP="00A519B8">
      <w:pPr>
        <w:spacing w:line="480" w:lineRule="auto"/>
        <w:ind w:firstLine="720"/>
        <w:jc w:val="both"/>
      </w:pPr>
    </w:p>
    <w:p w:rsidR="00626873" w:rsidRPr="00B72461" w:rsidRDefault="00626873">
      <w:pPr>
        <w:spacing w:line="480" w:lineRule="auto"/>
        <w:rPr>
          <w:b/>
          <w:bCs/>
        </w:rPr>
      </w:pPr>
      <w:r w:rsidRPr="00B72461">
        <w:rPr>
          <w:b/>
          <w:bCs/>
        </w:rPr>
        <w:t xml:space="preserve">State Incentives </w:t>
      </w:r>
      <w:r w:rsidR="00626EC7" w:rsidRPr="00B72461">
        <w:rPr>
          <w:b/>
          <w:bCs/>
        </w:rPr>
        <w:t xml:space="preserve">to </w:t>
      </w:r>
      <w:r w:rsidRPr="00B72461">
        <w:rPr>
          <w:b/>
          <w:bCs/>
        </w:rPr>
        <w:t xml:space="preserve">Torture in </w:t>
      </w:r>
      <w:r w:rsidR="00995078" w:rsidRPr="00B72461">
        <w:rPr>
          <w:b/>
          <w:bCs/>
        </w:rPr>
        <w:t>Response to</w:t>
      </w:r>
      <w:r w:rsidRPr="00B72461">
        <w:rPr>
          <w:b/>
          <w:bCs/>
        </w:rPr>
        <w:t xml:space="preserve"> Terrorism</w:t>
      </w:r>
    </w:p>
    <w:p w:rsidR="0098241A" w:rsidRDefault="00CC1749">
      <w:pPr>
        <w:spacing w:line="480" w:lineRule="auto"/>
        <w:jc w:val="both"/>
      </w:pPr>
      <w:r>
        <w:t xml:space="preserve">Terrorist </w:t>
      </w:r>
      <w:r w:rsidR="00626873" w:rsidRPr="00B72461">
        <w:t xml:space="preserve">attacks </w:t>
      </w:r>
      <w:r w:rsidR="00BE6D3A" w:rsidRPr="00B72461">
        <w:t xml:space="preserve">can </w:t>
      </w:r>
      <w:r w:rsidR="00995078" w:rsidRPr="00B72461">
        <w:t>have</w:t>
      </w:r>
      <w:r w:rsidR="00626873" w:rsidRPr="00B72461">
        <w:t xml:space="preserve"> far-reaching</w:t>
      </w:r>
      <w:r w:rsidR="00995078" w:rsidRPr="00B72461">
        <w:t xml:space="preserve">, long-term </w:t>
      </w:r>
      <w:r w:rsidR="00626873" w:rsidRPr="00B72461">
        <w:t>consequences.</w:t>
      </w:r>
      <w:r w:rsidR="00FE432E" w:rsidRPr="00B72461">
        <w:rPr>
          <w:rStyle w:val="FootnoteReference"/>
        </w:rPr>
        <w:footnoteReference w:id="1"/>
      </w:r>
      <w:r w:rsidR="00626873" w:rsidRPr="00B72461">
        <w:t xml:space="preserve"> </w:t>
      </w:r>
      <w:r w:rsidR="000E623A">
        <w:t>S</w:t>
      </w:r>
      <w:r w:rsidR="0000755A" w:rsidRPr="00B72461">
        <w:t xml:space="preserve">uccessful </w:t>
      </w:r>
      <w:r w:rsidR="00626873" w:rsidRPr="00B72461">
        <w:t xml:space="preserve">attacks directly </w:t>
      </w:r>
      <w:r w:rsidR="000E623A">
        <w:t>and</w:t>
      </w:r>
      <w:r w:rsidR="00626873" w:rsidRPr="00B72461">
        <w:t xml:space="preserve"> indirectly harm </w:t>
      </w:r>
      <w:r w:rsidR="000E623A">
        <w:t>the target</w:t>
      </w:r>
      <w:r w:rsidR="00626873" w:rsidRPr="00B72461">
        <w:t xml:space="preserve"> state’s economy (Enders and Sandler 2006), especially since attacks often occur within the context of larger, more costly civil conflicts (Findley and Young</w:t>
      </w:r>
      <w:r w:rsidR="00653FA7" w:rsidRPr="00B72461">
        <w:t xml:space="preserve"> </w:t>
      </w:r>
      <w:r w:rsidR="00992DB1" w:rsidRPr="00B72461">
        <w:t>2011</w:t>
      </w:r>
      <w:r w:rsidR="00626873" w:rsidRPr="00B72461">
        <w:t xml:space="preserve">). </w:t>
      </w:r>
      <w:r w:rsidR="00D66C32" w:rsidRPr="00B72461">
        <w:t>Terrorist a</w:t>
      </w:r>
      <w:r w:rsidR="00626873" w:rsidRPr="00B72461">
        <w:t xml:space="preserve">ttacks </w:t>
      </w:r>
      <w:r w:rsidR="000D693E">
        <w:t>can</w:t>
      </w:r>
      <w:r w:rsidR="000D693E" w:rsidRPr="00B72461">
        <w:t xml:space="preserve"> </w:t>
      </w:r>
      <w:r w:rsidR="00626873" w:rsidRPr="00B72461">
        <w:t>also lead to loss of support for incumbent leaders and influence voting patterns in democracies (</w:t>
      </w:r>
      <w:proofErr w:type="spellStart"/>
      <w:r w:rsidR="00626873" w:rsidRPr="00B72461">
        <w:t>Berrebi</w:t>
      </w:r>
      <w:proofErr w:type="spellEnd"/>
      <w:r w:rsidR="00626873" w:rsidRPr="00B72461">
        <w:t xml:space="preserve"> and </w:t>
      </w:r>
      <w:proofErr w:type="spellStart"/>
      <w:r w:rsidR="00626873" w:rsidRPr="00B72461">
        <w:t>Klor</w:t>
      </w:r>
      <w:proofErr w:type="spellEnd"/>
      <w:r w:rsidR="005C52C5" w:rsidRPr="00B72461">
        <w:t xml:space="preserve"> </w:t>
      </w:r>
      <w:r w:rsidR="00626873" w:rsidRPr="00B72461">
        <w:t xml:space="preserve">2008). </w:t>
      </w:r>
      <w:r w:rsidR="00BE6D3A" w:rsidRPr="00B72461">
        <w:t xml:space="preserve">These </w:t>
      </w:r>
      <w:r w:rsidR="005E242E">
        <w:t xml:space="preserve">negative </w:t>
      </w:r>
      <w:r w:rsidR="00BE6D3A" w:rsidRPr="00B72461">
        <w:t xml:space="preserve">consequences create strong </w:t>
      </w:r>
      <w:r w:rsidR="00460F91">
        <w:t>pressures</w:t>
      </w:r>
      <w:r w:rsidR="00460F91" w:rsidRPr="00B72461">
        <w:t xml:space="preserve"> </w:t>
      </w:r>
      <w:r w:rsidR="00BE6D3A" w:rsidRPr="00B72461">
        <w:t>for governments to prevent attacks</w:t>
      </w:r>
      <w:r w:rsidR="000D693E">
        <w:t xml:space="preserve"> an</w:t>
      </w:r>
      <w:r w:rsidR="00D95A80">
        <w:t>d minimize their repercussions when they do occur</w:t>
      </w:r>
      <w:r w:rsidR="00460F91">
        <w:t xml:space="preserve">, and we </w:t>
      </w:r>
      <w:r w:rsidR="005E4A3C">
        <w:t xml:space="preserve">argue </w:t>
      </w:r>
      <w:r w:rsidR="00460F91">
        <w:t>that such pressures might lead governments to engage in higher levels of torture and physical abuse</w:t>
      </w:r>
      <w:r w:rsidR="00D95A80">
        <w:t>.</w:t>
      </w:r>
      <w:r w:rsidR="00460F91">
        <w:t xml:space="preserve">  </w:t>
      </w:r>
    </w:p>
    <w:p w:rsidR="00E45A02" w:rsidRDefault="0098241A" w:rsidP="0098241A">
      <w:pPr>
        <w:spacing w:line="480" w:lineRule="auto"/>
        <w:ind w:firstLine="720"/>
        <w:jc w:val="both"/>
      </w:pPr>
      <w:r w:rsidRPr="00B72461">
        <w:t xml:space="preserve">First, although there is popular debate about the quality of intelligence produced when detainees are questioned under </w:t>
      </w:r>
      <w:r>
        <w:t xml:space="preserve">physical </w:t>
      </w:r>
      <w:r w:rsidRPr="00B72461">
        <w:t>duress,</w:t>
      </w:r>
      <w:r>
        <w:rPr>
          <w:rStyle w:val="FootnoteReference"/>
        </w:rPr>
        <w:footnoteReference w:id="2"/>
      </w:r>
      <w:r w:rsidRPr="00B72461">
        <w:t xml:space="preserve"> government officials may torture terrorist suspects to generate information about future attacks (</w:t>
      </w:r>
      <w:r>
        <w:t xml:space="preserve">e.g., </w:t>
      </w:r>
      <w:proofErr w:type="spellStart"/>
      <w:r w:rsidRPr="00B72461">
        <w:t>Dershowitz</w:t>
      </w:r>
      <w:proofErr w:type="spellEnd"/>
      <w:r w:rsidRPr="00B72461">
        <w:t xml:space="preserve"> 2002</w:t>
      </w:r>
      <w:r>
        <w:t>,</w:t>
      </w:r>
      <w:r w:rsidRPr="00B72461">
        <w:t xml:space="preserve"> </w:t>
      </w:r>
      <w:proofErr w:type="spellStart"/>
      <w:r w:rsidRPr="00B72461">
        <w:t>Ignatieff</w:t>
      </w:r>
      <w:proofErr w:type="spellEnd"/>
      <w:r w:rsidRPr="00B72461">
        <w:t xml:space="preserve"> 2004). </w:t>
      </w:r>
      <w:r>
        <w:t xml:space="preserve">For example, Bush administration official </w:t>
      </w:r>
      <w:r w:rsidRPr="00B72461">
        <w:t xml:space="preserve">Mark </w:t>
      </w:r>
      <w:proofErr w:type="spellStart"/>
      <w:r w:rsidRPr="00B72461">
        <w:t>Thiessen</w:t>
      </w:r>
      <w:proofErr w:type="spellEnd"/>
      <w:r>
        <w:t xml:space="preserve"> argues</w:t>
      </w:r>
      <w:r w:rsidRPr="00B72461">
        <w:t xml:space="preserve"> that the </w:t>
      </w:r>
      <w:r w:rsidRPr="00B72461">
        <w:lastRenderedPageBreak/>
        <w:t>“enhanced interrogations” of Khalid Sheik Mohammed yielded intelligence that foiled terrorist plans to fly an aircraft into a California skyscraper</w:t>
      </w:r>
      <w:r>
        <w:t>:</w:t>
      </w:r>
      <w:r w:rsidRPr="00B72461">
        <w:t xml:space="preserve"> “Without enhanced interrogations, there could be a hole in the ground in Los Angeles to match the one in New York” (</w:t>
      </w:r>
      <w:proofErr w:type="spellStart"/>
      <w:r w:rsidRPr="00B72461">
        <w:t>Thiessen</w:t>
      </w:r>
      <w:proofErr w:type="spellEnd"/>
      <w:r w:rsidRPr="00B72461">
        <w:t xml:space="preserve"> 2009). Second, torture may deter future terrorist activities. Potential terrorists may be dissuaded from engaging in attacks against states that respond to terrorism with human rights violations and other forms of indiscriminate violence (</w:t>
      </w:r>
      <w:proofErr w:type="spellStart"/>
      <w:r w:rsidRPr="00B72461">
        <w:t>Lyall</w:t>
      </w:r>
      <w:proofErr w:type="spellEnd"/>
      <w:r w:rsidRPr="00B72461">
        <w:t xml:space="preserve"> 2009).</w:t>
      </w:r>
      <w:r w:rsidRPr="00B72461">
        <w:rPr>
          <w:rStyle w:val="FootnoteReference"/>
        </w:rPr>
        <w:footnoteReference w:id="3"/>
      </w:r>
      <w:r>
        <w:t xml:space="preserve"> We discuss each of these mechanisms in turn.</w:t>
      </w:r>
      <w:r>
        <w:rPr>
          <w:rStyle w:val="FootnoteReference"/>
        </w:rPr>
        <w:footnoteReference w:id="4"/>
      </w:r>
    </w:p>
    <w:p w:rsidR="0098241A" w:rsidRDefault="0098241A">
      <w:pPr>
        <w:spacing w:line="480" w:lineRule="auto"/>
        <w:jc w:val="both"/>
      </w:pPr>
    </w:p>
    <w:p w:rsidR="004839D8" w:rsidRPr="004839D8" w:rsidRDefault="00ED1BCC">
      <w:pPr>
        <w:spacing w:line="480" w:lineRule="auto"/>
        <w:jc w:val="both"/>
        <w:rPr>
          <w:i/>
        </w:rPr>
      </w:pPr>
      <w:r w:rsidRPr="00ED1BCC">
        <w:rPr>
          <w:i/>
        </w:rPr>
        <w:t>Torture and Intelligence</w:t>
      </w:r>
    </w:p>
    <w:p w:rsidR="0098241A" w:rsidRDefault="00D95A80" w:rsidP="0098241A">
      <w:pPr>
        <w:spacing w:line="480" w:lineRule="auto"/>
        <w:ind w:firstLine="720"/>
        <w:jc w:val="both"/>
      </w:pPr>
      <w:r>
        <w:t xml:space="preserve"> </w:t>
      </w:r>
    </w:p>
    <w:p w:rsidR="00772999" w:rsidRDefault="00B62763" w:rsidP="0098241A">
      <w:pPr>
        <w:spacing w:line="480" w:lineRule="auto"/>
        <w:ind w:firstLine="720"/>
        <w:jc w:val="both"/>
      </w:pPr>
      <w:r>
        <w:t>G</w:t>
      </w:r>
      <w:r w:rsidR="000D693E" w:rsidRPr="00B72461">
        <w:t xml:space="preserve">overnments </w:t>
      </w:r>
      <w:r w:rsidR="00D95A80">
        <w:t xml:space="preserve">often </w:t>
      </w:r>
      <w:r w:rsidR="000D693E" w:rsidRPr="00B72461">
        <w:t xml:space="preserve">lack reliable information about terrorist groups and their activities. </w:t>
      </w:r>
      <w:r>
        <w:t xml:space="preserve">This is by design on the part of the terrorists themselves.  </w:t>
      </w:r>
      <w:r w:rsidR="000D693E" w:rsidRPr="00B72461">
        <w:t xml:space="preserve">Organizations that engage in transnational and domestic terrorism do so most often because they are weak, </w:t>
      </w:r>
      <w:r w:rsidR="008257AF">
        <w:t xml:space="preserve">lacking the </w:t>
      </w:r>
      <w:r w:rsidR="000D693E" w:rsidRPr="00B72461">
        <w:t>capabilities</w:t>
      </w:r>
      <w:r w:rsidR="008257AF">
        <w:t xml:space="preserve"> to engage in conventional military strategies,</w:t>
      </w:r>
      <w:r w:rsidR="000D693E" w:rsidRPr="00B72461">
        <w:t xml:space="preserve"> </w:t>
      </w:r>
      <w:r>
        <w:t>and</w:t>
      </w:r>
      <w:r w:rsidRPr="00B72461">
        <w:t xml:space="preserve"> </w:t>
      </w:r>
      <w:r w:rsidR="000D693E" w:rsidRPr="00B72461">
        <w:t>because they lack popular support for their goals</w:t>
      </w:r>
      <w:r w:rsidR="008257AF">
        <w:t xml:space="preserve"> to engage in political mobilization</w:t>
      </w:r>
      <w:r w:rsidR="000D693E" w:rsidRPr="00B72461">
        <w:t xml:space="preserve"> (Crenshaw 1998; Lake 2002; </w:t>
      </w:r>
      <w:proofErr w:type="spellStart"/>
      <w:r w:rsidR="000D693E" w:rsidRPr="00B72461">
        <w:t>Kydd</w:t>
      </w:r>
      <w:proofErr w:type="spellEnd"/>
      <w:r w:rsidR="000D693E" w:rsidRPr="00B72461">
        <w:t xml:space="preserve"> &amp; Walter 2006).  Because of their relative weakness compared to the states they target, </w:t>
      </w:r>
      <w:r w:rsidR="004C3A56">
        <w:t xml:space="preserve">it is crucial for terrorists </w:t>
      </w:r>
      <w:r w:rsidR="000D693E" w:rsidRPr="00B72461">
        <w:t xml:space="preserve">to </w:t>
      </w:r>
      <w:r w:rsidR="004C3A56">
        <w:t xml:space="preserve">keep their organization and activities </w:t>
      </w:r>
      <w:r w:rsidR="00192E1B">
        <w:t xml:space="preserve">clandestine, to </w:t>
      </w:r>
      <w:r w:rsidR="000D693E" w:rsidRPr="00B72461">
        <w:t>misrepresent their capabilities and resolve (Lake 2002)</w:t>
      </w:r>
      <w:r w:rsidR="00192E1B">
        <w:t xml:space="preserve"> and to keep secret the </w:t>
      </w:r>
      <w:r w:rsidR="000D693E" w:rsidRPr="00B72461">
        <w:t>geographic location of their operations</w:t>
      </w:r>
      <w:r w:rsidR="000D693E">
        <w:t>. Al</w:t>
      </w:r>
      <w:r w:rsidR="00D37DA1" w:rsidRPr="00B72461">
        <w:t xml:space="preserve">though some states have successfully </w:t>
      </w:r>
      <w:r w:rsidR="00BD145A" w:rsidRPr="00B72461">
        <w:t>negotiated</w:t>
      </w:r>
      <w:r w:rsidR="00D37DA1" w:rsidRPr="00B72461">
        <w:t xml:space="preserve"> with terroris</w:t>
      </w:r>
      <w:r w:rsidR="00CC2811">
        <w:t xml:space="preserve">ts </w:t>
      </w:r>
      <w:r w:rsidR="00D37DA1" w:rsidRPr="00B72461">
        <w:t>(</w:t>
      </w:r>
      <w:r w:rsidR="000D693E">
        <w:t>e.g.,</w:t>
      </w:r>
      <w:r w:rsidR="000D693E" w:rsidRPr="00B72461">
        <w:t xml:space="preserve"> </w:t>
      </w:r>
      <w:r w:rsidR="00D37DA1" w:rsidRPr="00B72461">
        <w:t xml:space="preserve">Jones and </w:t>
      </w:r>
      <w:proofErr w:type="spellStart"/>
      <w:r w:rsidR="00D37DA1" w:rsidRPr="00B72461">
        <w:t>Libicki</w:t>
      </w:r>
      <w:proofErr w:type="spellEnd"/>
      <w:r w:rsidR="00D37DA1" w:rsidRPr="00B72461">
        <w:t xml:space="preserve"> 2008)</w:t>
      </w:r>
      <w:r w:rsidR="000D693E">
        <w:t>, t</w:t>
      </w:r>
      <w:r w:rsidR="00D37DA1" w:rsidRPr="00B72461">
        <w:t xml:space="preserve">he </w:t>
      </w:r>
      <w:r w:rsidR="000D693E">
        <w:t xml:space="preserve">increased </w:t>
      </w:r>
      <w:r w:rsidR="0031259F" w:rsidRPr="00B72461">
        <w:t xml:space="preserve">probability of </w:t>
      </w:r>
      <w:r w:rsidR="0031259F" w:rsidRPr="00B72461">
        <w:lastRenderedPageBreak/>
        <w:t>bargaining failures</w:t>
      </w:r>
      <w:r w:rsidR="00BB6A54" w:rsidRPr="00B72461">
        <w:t xml:space="preserve"> and the higher risks of defection by terrorist actors </w:t>
      </w:r>
      <w:r w:rsidR="0031259F" w:rsidRPr="00B72461">
        <w:t xml:space="preserve">make </w:t>
      </w:r>
      <w:r w:rsidR="00D37DA1" w:rsidRPr="00B72461">
        <w:t xml:space="preserve">such </w:t>
      </w:r>
      <w:r w:rsidR="0031259F" w:rsidRPr="00B72461">
        <w:t>negotiations fraught with difficulty, even</w:t>
      </w:r>
      <w:r w:rsidR="008C5342" w:rsidRPr="00B72461">
        <w:t xml:space="preserve"> if</w:t>
      </w:r>
      <w:r w:rsidR="0031259F" w:rsidRPr="00B72461">
        <w:t xml:space="preserve"> the state is willing to offer concessions.</w:t>
      </w:r>
      <w:r w:rsidR="0031259F" w:rsidRPr="00B72461">
        <w:rPr>
          <w:rStyle w:val="FootnoteReference"/>
        </w:rPr>
        <w:footnoteReference w:id="5"/>
      </w:r>
      <w:r w:rsidR="00192E1B">
        <w:t xml:space="preserve">  States therefore frequently seek to deal with terrorism by eliminating groups and their members through policing and military action.  </w:t>
      </w:r>
      <w:r w:rsidR="000D693E">
        <w:t xml:space="preserve"> </w:t>
      </w:r>
    </w:p>
    <w:p w:rsidR="00772999" w:rsidRDefault="00355CF1">
      <w:pPr>
        <w:spacing w:line="480" w:lineRule="auto"/>
        <w:ind w:firstLine="720"/>
        <w:jc w:val="both"/>
      </w:pPr>
      <w:r>
        <w:t xml:space="preserve">Due to the clandestine and </w:t>
      </w:r>
      <w:r w:rsidR="00431AF2">
        <w:t>opaque nature of terrorism and terrorist threats, a</w:t>
      </w:r>
      <w:r w:rsidR="00676925" w:rsidRPr="00B72461">
        <w:t xml:space="preserve"> critical barrier to effective counterterrorism policy</w:t>
      </w:r>
      <w:r w:rsidR="00D95A80">
        <w:t xml:space="preserve"> </w:t>
      </w:r>
      <w:r w:rsidR="00676925" w:rsidRPr="00B72461">
        <w:t xml:space="preserve">is a lack of intelligence about the details of terrorist organizations </w:t>
      </w:r>
      <w:r w:rsidR="00676925">
        <w:t xml:space="preserve">themselves </w:t>
      </w:r>
      <w:r w:rsidR="00676925" w:rsidRPr="00B72461">
        <w:t xml:space="preserve">and their plans for future </w:t>
      </w:r>
      <w:r w:rsidR="00676925">
        <w:t xml:space="preserve">terrorist </w:t>
      </w:r>
      <w:r w:rsidR="00676925" w:rsidRPr="00B72461">
        <w:t>at</w:t>
      </w:r>
      <w:r w:rsidR="00676925">
        <w:t xml:space="preserve">tacks. </w:t>
      </w:r>
      <w:r w:rsidR="007F7F80">
        <w:t xml:space="preserve">During the height of the Iraq War, US government sources frequently cited lack of information </w:t>
      </w:r>
      <w:r w:rsidR="007F7F80" w:rsidRPr="00B72461">
        <w:t xml:space="preserve">about terrorist groups </w:t>
      </w:r>
      <w:r w:rsidR="007F7F80">
        <w:t xml:space="preserve">as a key reason </w:t>
      </w:r>
      <w:r w:rsidR="00676925" w:rsidRPr="00B72461">
        <w:t xml:space="preserve">for </w:t>
      </w:r>
      <w:r w:rsidR="00A8510D">
        <w:t>the persistence of the terrorist threat</w:t>
      </w:r>
      <w:r w:rsidR="00676925" w:rsidRPr="00B72461">
        <w:t>. As an example of the staggering dynamism and complexity of terrorist movements</w:t>
      </w:r>
      <w:r w:rsidR="00676925">
        <w:t xml:space="preserve"> in that conflict</w:t>
      </w:r>
      <w:r w:rsidR="00676925" w:rsidRPr="00B72461">
        <w:t>, one journalist compiled a list of 103 groups claiming responsibility for attacks on Americans and Iraqis during a six-month period in 2005 (</w:t>
      </w:r>
      <w:proofErr w:type="spellStart"/>
      <w:r w:rsidR="00676925" w:rsidRPr="00B72461">
        <w:t>Filkins</w:t>
      </w:r>
      <w:proofErr w:type="spellEnd"/>
      <w:r w:rsidR="00676925" w:rsidRPr="00B72461">
        <w:t xml:space="preserve"> 2008). </w:t>
      </w:r>
      <w:r w:rsidR="00261D9E" w:rsidRPr="00B72461">
        <w:t xml:space="preserve">As </w:t>
      </w:r>
      <w:r w:rsidR="00332EDB" w:rsidRPr="00B72461">
        <w:t xml:space="preserve">authorities </w:t>
      </w:r>
      <w:r w:rsidR="00413C14" w:rsidRPr="00B72461">
        <w:t xml:space="preserve">become </w:t>
      </w:r>
      <w:r w:rsidR="00261D9E" w:rsidRPr="00B72461">
        <w:t>better able to gather intelligence on terrorist</w:t>
      </w:r>
      <w:r w:rsidR="00FE432E">
        <w:t xml:space="preserve"> </w:t>
      </w:r>
      <w:r w:rsidR="00261D9E" w:rsidRPr="00B72461">
        <w:t xml:space="preserve">threats, the likelihood </w:t>
      </w:r>
      <w:r w:rsidR="000D693E">
        <w:t>of successful</w:t>
      </w:r>
      <w:r w:rsidR="000D693E" w:rsidRPr="00B72461">
        <w:t xml:space="preserve"> </w:t>
      </w:r>
      <w:r w:rsidR="00261D9E" w:rsidRPr="00B72461">
        <w:t xml:space="preserve">deterrence, defense, and bargaining increases. </w:t>
      </w:r>
      <w:r w:rsidR="007F7F80">
        <w:t>Consequently</w:t>
      </w:r>
      <w:r w:rsidR="00261D9E" w:rsidRPr="00B72461">
        <w:t xml:space="preserve">, the occurrence of terrorist attacks is lower when states have accurate information about </w:t>
      </w:r>
      <w:r w:rsidR="003B328A">
        <w:t>the</w:t>
      </w:r>
      <w:r w:rsidR="00261D9E" w:rsidRPr="00B72461">
        <w:t xml:space="preserve"> capabilities and intentions</w:t>
      </w:r>
      <w:r w:rsidR="003B328A">
        <w:t xml:space="preserve"> of terrorist organizations</w:t>
      </w:r>
      <w:r w:rsidR="00A8510D">
        <w:t xml:space="preserve"> that facilitates better counterterrorism efforts</w:t>
      </w:r>
      <w:r w:rsidR="009A6852">
        <w:t>.</w:t>
      </w:r>
      <w:r w:rsidR="00C11EEA">
        <w:t xml:space="preserve"> </w:t>
      </w:r>
      <w:r w:rsidR="00FE432E">
        <w:t xml:space="preserve">Because intelligence collection is </w:t>
      </w:r>
      <w:r w:rsidR="009E5AA7">
        <w:t>necessary for</w:t>
      </w:r>
      <w:r w:rsidR="00FE432E">
        <w:t xml:space="preserve"> preventing terrorist attacks, governments</w:t>
      </w:r>
      <w:r w:rsidR="00997E68" w:rsidRPr="00B72461">
        <w:t xml:space="preserve"> </w:t>
      </w:r>
      <w:r w:rsidR="00F806A1" w:rsidRPr="00B72461">
        <w:t xml:space="preserve">faced with </w:t>
      </w:r>
      <w:r w:rsidR="00261D9E" w:rsidRPr="00B72461">
        <w:t>terrorist</w:t>
      </w:r>
      <w:r w:rsidR="00F806A1" w:rsidRPr="00B72461">
        <w:t xml:space="preserve"> threat</w:t>
      </w:r>
      <w:r w:rsidR="00261D9E" w:rsidRPr="00B72461">
        <w:t>s</w:t>
      </w:r>
      <w:r w:rsidR="00F806A1" w:rsidRPr="00B72461">
        <w:t xml:space="preserve"> </w:t>
      </w:r>
      <w:r w:rsidR="00DD0217">
        <w:t>are incentivized to use whatever intelligence gathering techniques are available to generate counterterrorism information, including the use of physical abuse and torture of suspects and detainees</w:t>
      </w:r>
      <w:r w:rsidR="00626873" w:rsidRPr="00B72461">
        <w:t>.</w:t>
      </w:r>
      <w:r w:rsidR="00FE432E">
        <w:t xml:space="preserve"> </w:t>
      </w:r>
    </w:p>
    <w:p w:rsidR="00772999" w:rsidRDefault="00701537">
      <w:pPr>
        <w:spacing w:line="480" w:lineRule="auto"/>
        <w:ind w:firstLine="720"/>
        <w:jc w:val="both"/>
      </w:pPr>
      <w:r w:rsidRPr="00B72461">
        <w:t>State</w:t>
      </w:r>
      <w:r w:rsidR="00FC4C91" w:rsidRPr="00B72461">
        <w:t xml:space="preserve"> officials have long engaged in torture both</w:t>
      </w:r>
      <w:r w:rsidR="00626873" w:rsidRPr="00B72461">
        <w:t xml:space="preserve"> to establish the credibility of witness testimony and to aid in the determination of guilt or innocence</w:t>
      </w:r>
      <w:r w:rsidR="00FE432E">
        <w:t xml:space="preserve"> (</w:t>
      </w:r>
      <w:proofErr w:type="spellStart"/>
      <w:r w:rsidR="00FE432E">
        <w:t>Rejali</w:t>
      </w:r>
      <w:proofErr w:type="spellEnd"/>
      <w:r w:rsidR="00FE432E">
        <w:t xml:space="preserve"> 2007)</w:t>
      </w:r>
      <w:r w:rsidR="00626873" w:rsidRPr="00B72461">
        <w:t xml:space="preserve">. </w:t>
      </w:r>
      <w:r w:rsidR="004C3A56">
        <w:t xml:space="preserve">  </w:t>
      </w:r>
      <w:r w:rsidR="004C3A56">
        <w:lastRenderedPageBreak/>
        <w:t xml:space="preserve">Proponents have argued that </w:t>
      </w:r>
      <w:r w:rsidRPr="00B72461">
        <w:t xml:space="preserve">torture of suspected terrorists and their </w:t>
      </w:r>
      <w:r w:rsidR="002D6EB6">
        <w:t>supporters</w:t>
      </w:r>
      <w:r w:rsidR="002D6EB6" w:rsidRPr="00B72461">
        <w:t xml:space="preserve"> </w:t>
      </w:r>
      <w:r w:rsidR="00626873" w:rsidRPr="00B72461">
        <w:t xml:space="preserve">can provide </w:t>
      </w:r>
      <w:r w:rsidR="000843B0" w:rsidRPr="00B72461">
        <w:t xml:space="preserve">actionable </w:t>
      </w:r>
      <w:r w:rsidR="00626873" w:rsidRPr="00B72461">
        <w:t>intelligence</w:t>
      </w:r>
      <w:r w:rsidR="001A2EB0">
        <w:t xml:space="preserve"> (Johnson and Ryan 2013)</w:t>
      </w:r>
      <w:r w:rsidR="000843B0" w:rsidRPr="00B72461">
        <w:t xml:space="preserve">, </w:t>
      </w:r>
      <w:r w:rsidR="00626873" w:rsidRPr="00B72461">
        <w:t>increas</w:t>
      </w:r>
      <w:r w:rsidR="000843B0" w:rsidRPr="00B72461">
        <w:t>ing</w:t>
      </w:r>
      <w:r w:rsidR="00626873" w:rsidRPr="00B72461">
        <w:t xml:space="preserve"> the </w:t>
      </w:r>
      <w:r w:rsidR="000843B0" w:rsidRPr="00B72461">
        <w:t xml:space="preserve">state’s </w:t>
      </w:r>
      <w:r w:rsidR="00665402">
        <w:t>ability to foil future attacks</w:t>
      </w:r>
      <w:r w:rsidR="002D6EB6">
        <w:t>, identify members</w:t>
      </w:r>
      <w:r w:rsidR="00665402">
        <w:t xml:space="preserve"> and/or destroy terrorist group cells. State agents are especially likely to engage in torture when they believe that it will generate information to eliminate a potential threat (</w:t>
      </w:r>
      <w:proofErr w:type="spellStart"/>
      <w:r w:rsidR="00665402">
        <w:t>Wantchekon</w:t>
      </w:r>
      <w:proofErr w:type="spellEnd"/>
      <w:r w:rsidR="00665402">
        <w:t xml:space="preserve"> and Healy 2005) and/or prevent a future attack.</w:t>
      </w:r>
      <w:r w:rsidR="00665402">
        <w:rPr>
          <w:rStyle w:val="FootnoteReference"/>
        </w:rPr>
        <w:footnoteReference w:id="6"/>
      </w:r>
      <w:r w:rsidR="00D55238" w:rsidRPr="00D55238">
        <w:t xml:space="preserve"> Increased intelligence is also important if the state wishes to respond to terrorism with </w:t>
      </w:r>
      <w:r w:rsidR="000D0A9D">
        <w:t>more targeted</w:t>
      </w:r>
      <w:r w:rsidR="000D0A9D" w:rsidRPr="00D55238">
        <w:t xml:space="preserve"> </w:t>
      </w:r>
      <w:r w:rsidR="00D55238" w:rsidRPr="00D55238">
        <w:t>violence. Indiscriminate repression</w:t>
      </w:r>
      <w:r w:rsidR="00076432">
        <w:t>, which is</w:t>
      </w:r>
      <w:r w:rsidR="007E2EBF" w:rsidRPr="00B72461">
        <w:t xml:space="preserve"> </w:t>
      </w:r>
      <w:r w:rsidR="000D0A9D">
        <w:t>directed</w:t>
      </w:r>
      <w:r w:rsidR="000D0A9D" w:rsidRPr="00B72461">
        <w:t xml:space="preserve"> </w:t>
      </w:r>
      <w:r w:rsidR="007E2EBF" w:rsidRPr="00B72461">
        <w:t xml:space="preserve">at the general population rather </w:t>
      </w:r>
      <w:r w:rsidR="008C5342" w:rsidRPr="00B72461">
        <w:t xml:space="preserve">than </w:t>
      </w:r>
      <w:r w:rsidR="007E2EBF" w:rsidRPr="00B72461">
        <w:t>specifically at members of terrorist and dissident groups</w:t>
      </w:r>
      <w:r w:rsidR="00076432">
        <w:t>,</w:t>
      </w:r>
      <w:r w:rsidR="007E2EBF" w:rsidRPr="00B72461">
        <w:t xml:space="preserve"> </w:t>
      </w:r>
      <w:r w:rsidR="00626873" w:rsidRPr="00B72461">
        <w:t xml:space="preserve">is unlikely to control dissent (e.g., Kocher et al. </w:t>
      </w:r>
      <w:r w:rsidR="009E5AA7">
        <w:t>2011</w:t>
      </w:r>
      <w:r w:rsidR="00076432">
        <w:t>,</w:t>
      </w:r>
      <w:r w:rsidR="00626873" w:rsidRPr="00B72461">
        <w:t xml:space="preserve"> </w:t>
      </w:r>
      <w:proofErr w:type="spellStart"/>
      <w:r w:rsidR="00626873" w:rsidRPr="00B72461">
        <w:t>Kalyvas</w:t>
      </w:r>
      <w:proofErr w:type="spellEnd"/>
      <w:r w:rsidR="00626873" w:rsidRPr="00B72461">
        <w:t xml:space="preserve"> and Kocher 2007), eliminate insurgency (</w:t>
      </w:r>
      <w:r w:rsidR="007E2EBF" w:rsidRPr="00B72461">
        <w:t xml:space="preserve">e.g., </w:t>
      </w:r>
      <w:r w:rsidR="00626873" w:rsidRPr="00B72461">
        <w:t>Findley and Young 2007</w:t>
      </w:r>
      <w:r w:rsidR="00076432">
        <w:t>,</w:t>
      </w:r>
      <w:r w:rsidR="00626873" w:rsidRPr="00B72461">
        <w:t xml:space="preserve"> Sullivan 2011)</w:t>
      </w:r>
      <w:r w:rsidR="00EA5659" w:rsidRPr="00B72461">
        <w:t>,</w:t>
      </w:r>
      <w:r w:rsidR="00626873" w:rsidRPr="00B72461">
        <w:t xml:space="preserve"> or reduce terrorist attacks (</w:t>
      </w:r>
      <w:r w:rsidR="007E2EBF" w:rsidRPr="00B72461">
        <w:t xml:space="preserve">e.g., </w:t>
      </w:r>
      <w:r w:rsidR="00626873" w:rsidRPr="00B72461">
        <w:t>Chenoweth and Dugan 201</w:t>
      </w:r>
      <w:r w:rsidR="00E55961">
        <w:t>2</w:t>
      </w:r>
      <w:r w:rsidR="00626873" w:rsidRPr="00B72461">
        <w:t>, Walsh and Piazza 2010). Torture offers a</w:t>
      </w:r>
      <w:r w:rsidR="004C41FD">
        <w:t xml:space="preserve"> focused</w:t>
      </w:r>
      <w:r w:rsidR="00626873" w:rsidRPr="00B72461">
        <w:t xml:space="preserve"> method of gathering information </w:t>
      </w:r>
      <w:r w:rsidR="007E2EBF" w:rsidRPr="00B72461">
        <w:t xml:space="preserve">about </w:t>
      </w:r>
      <w:r w:rsidR="00076432">
        <w:t>dissident</w:t>
      </w:r>
      <w:r w:rsidR="00076432" w:rsidRPr="00B72461">
        <w:t xml:space="preserve"> </w:t>
      </w:r>
      <w:r w:rsidR="007E2EBF" w:rsidRPr="00B72461">
        <w:t xml:space="preserve">activities, </w:t>
      </w:r>
      <w:r w:rsidR="00EA5659" w:rsidRPr="00B72461">
        <w:t>which increases</w:t>
      </w:r>
      <w:r w:rsidR="007E2EBF" w:rsidRPr="00B72461">
        <w:t xml:space="preserve"> the likelihood</w:t>
      </w:r>
      <w:r w:rsidR="00626873" w:rsidRPr="00B72461">
        <w:t xml:space="preserve"> that state violence is targeted at insurgents </w:t>
      </w:r>
      <w:r w:rsidR="00EA5659" w:rsidRPr="00B72461">
        <w:t xml:space="preserve">and terrorists </w:t>
      </w:r>
      <w:r w:rsidR="00626873" w:rsidRPr="00B72461">
        <w:t xml:space="preserve">rather than </w:t>
      </w:r>
      <w:r w:rsidR="00076432">
        <w:t>at the population more generally.</w:t>
      </w:r>
      <w:r w:rsidR="00076432" w:rsidRPr="00B72461">
        <w:t xml:space="preserve"> </w:t>
      </w:r>
    </w:p>
    <w:p w:rsidR="0098241A" w:rsidRDefault="0098241A">
      <w:pPr>
        <w:spacing w:line="480" w:lineRule="auto"/>
        <w:ind w:firstLine="720"/>
        <w:jc w:val="both"/>
      </w:pPr>
    </w:p>
    <w:p w:rsidR="009C2108" w:rsidRPr="009C2108" w:rsidRDefault="00ED1BCC" w:rsidP="009A6852">
      <w:pPr>
        <w:spacing w:line="480" w:lineRule="auto"/>
        <w:jc w:val="both"/>
        <w:rPr>
          <w:i/>
        </w:rPr>
      </w:pPr>
      <w:r w:rsidRPr="00ED1BCC">
        <w:rPr>
          <w:i/>
        </w:rPr>
        <w:t>Torture and Deterrence</w:t>
      </w:r>
    </w:p>
    <w:p w:rsidR="00626873" w:rsidRPr="00B72461" w:rsidRDefault="00626873">
      <w:pPr>
        <w:spacing w:line="480" w:lineRule="auto"/>
        <w:ind w:firstLine="720"/>
        <w:jc w:val="both"/>
      </w:pPr>
      <w:r w:rsidRPr="00B72461">
        <w:t xml:space="preserve">Second, </w:t>
      </w:r>
      <w:r w:rsidR="00211E3A">
        <w:t xml:space="preserve">supporters of </w:t>
      </w:r>
      <w:r w:rsidRPr="00B72461">
        <w:t xml:space="preserve">torture </w:t>
      </w:r>
      <w:r w:rsidR="00DB578C">
        <w:t>frequently claim it has a deterrent effect on terrorism</w:t>
      </w:r>
      <w:r w:rsidR="00064D73">
        <w:t xml:space="preserve">.  Torture – more broadly and indiscriminately applied – </w:t>
      </w:r>
      <w:r w:rsidRPr="00B72461">
        <w:t xml:space="preserve">may be used to punish individual terrorists or as </w:t>
      </w:r>
      <w:r w:rsidR="00EA5659" w:rsidRPr="00B72461">
        <w:t xml:space="preserve">part of </w:t>
      </w:r>
      <w:r w:rsidRPr="00B72461">
        <w:t xml:space="preserve">a strategy to intimidate </w:t>
      </w:r>
      <w:r w:rsidR="00861D38">
        <w:t xml:space="preserve">and deter </w:t>
      </w:r>
      <w:r w:rsidRPr="00B72461">
        <w:t xml:space="preserve">members and supporters of the terrorist organization. Physical punishment as a means of deterrence is a centuries-old legal and philosophical concept viewed as a legitimate function of sovereign governments (e.g., Hobbes 1651, </w:t>
      </w:r>
      <w:r w:rsidRPr="00C8562C">
        <w:t>Locke 1689).</w:t>
      </w:r>
      <w:r w:rsidR="00C8562C" w:rsidRPr="00C8562C">
        <w:t xml:space="preserve"> </w:t>
      </w:r>
      <w:r w:rsidR="00C8562C" w:rsidRPr="00C8562C">
        <w:rPr>
          <w:szCs w:val="20"/>
        </w:rPr>
        <w:t>Sullivan (6, 2011) argues that one of the “desired results” of torture is to</w:t>
      </w:r>
      <w:r w:rsidR="00861D38">
        <w:rPr>
          <w:szCs w:val="20"/>
        </w:rPr>
        <w:t>,</w:t>
      </w:r>
      <w:r w:rsidR="00C8562C" w:rsidRPr="00C8562C">
        <w:rPr>
          <w:szCs w:val="20"/>
        </w:rPr>
        <w:t xml:space="preserve"> “create a link between disobedient behavior </w:t>
      </w:r>
      <w:r w:rsidR="00C8562C" w:rsidRPr="00C8562C">
        <w:rPr>
          <w:szCs w:val="20"/>
        </w:rPr>
        <w:lastRenderedPageBreak/>
        <w:t>and pain, thereby reinforcing legal norms by associating transgression with negative sanctions.”</w:t>
      </w:r>
      <w:r w:rsidR="00EA5659" w:rsidRPr="00C8562C">
        <w:t xml:space="preserve"> </w:t>
      </w:r>
      <w:r w:rsidRPr="00C8562C">
        <w:t>As with punishment for criminal offenses, individuals may refrain from participating</w:t>
      </w:r>
      <w:r w:rsidR="007F7F80">
        <w:t xml:space="preserve"> in or supporting </w:t>
      </w:r>
      <w:r w:rsidR="00861D38">
        <w:t xml:space="preserve">terrorism </w:t>
      </w:r>
      <w:r w:rsidRPr="00B72461">
        <w:t xml:space="preserve">if authorities have a reputation for torturing suspected terrorists </w:t>
      </w:r>
      <w:r w:rsidR="007F7F80">
        <w:t>and sympathizers</w:t>
      </w:r>
      <w:r w:rsidRPr="00B72461">
        <w:t xml:space="preserve">. </w:t>
      </w:r>
      <w:r w:rsidR="003B612F" w:rsidRPr="00B72461">
        <w:t>The French Army, for instance, randomly tortured Algerian citizens during the Algerian War in the 1960s (</w:t>
      </w:r>
      <w:proofErr w:type="spellStart"/>
      <w:r w:rsidR="003B612F" w:rsidRPr="00B72461">
        <w:t>DiMarco</w:t>
      </w:r>
      <w:proofErr w:type="spellEnd"/>
      <w:r w:rsidR="003B612F" w:rsidRPr="00B72461">
        <w:t xml:space="preserve"> 2006), suggesting that torture was used as a punitive and deterrent tool to prevent additional terrorist attacks.</w:t>
      </w:r>
      <w:r w:rsidR="003B612F" w:rsidRPr="00B72461">
        <w:rPr>
          <w:rStyle w:val="FootnoteReference"/>
        </w:rPr>
        <w:footnoteReference w:id="7"/>
      </w:r>
      <w:r w:rsidR="003B612F" w:rsidRPr="00B72461">
        <w:t xml:space="preserve"> </w:t>
      </w:r>
      <w:r w:rsidR="00861D38">
        <w:t>Supporters of this tactic argue that u</w:t>
      </w:r>
      <w:r w:rsidRPr="00B72461">
        <w:t xml:space="preserve">sing torture to encourage fear (Walter 1969, </w:t>
      </w:r>
      <w:proofErr w:type="spellStart"/>
      <w:r w:rsidRPr="00B72461">
        <w:t>Wantchekon</w:t>
      </w:r>
      <w:proofErr w:type="spellEnd"/>
      <w:r w:rsidRPr="00B72461">
        <w:t xml:space="preserve"> and Healy 2005)</w:t>
      </w:r>
      <w:r w:rsidRPr="00B72461">
        <w:rPr>
          <w:color w:val="FF0000"/>
        </w:rPr>
        <w:t xml:space="preserve"> </w:t>
      </w:r>
      <w:r w:rsidRPr="00B72461">
        <w:t xml:space="preserve">among terrorist sympathizers and within the </w:t>
      </w:r>
      <w:r w:rsidR="00463608">
        <w:t xml:space="preserve">general </w:t>
      </w:r>
      <w:r w:rsidRPr="00B72461">
        <w:t xml:space="preserve">populace </w:t>
      </w:r>
      <w:r w:rsidR="00EA5659" w:rsidRPr="00B72461">
        <w:t>can potentially</w:t>
      </w:r>
      <w:r w:rsidRPr="00B72461">
        <w:t xml:space="preserve"> stem the future growth of terrorist organizations.</w:t>
      </w:r>
    </w:p>
    <w:p w:rsidR="00626873" w:rsidRDefault="00626873" w:rsidP="00D534AA">
      <w:pPr>
        <w:spacing w:line="480" w:lineRule="auto"/>
      </w:pPr>
    </w:p>
    <w:p w:rsidR="00D53E16" w:rsidRDefault="00E14437">
      <w:pPr>
        <w:spacing w:line="480" w:lineRule="auto"/>
        <w:jc w:val="both"/>
        <w:rPr>
          <w:b/>
        </w:rPr>
      </w:pPr>
      <w:r w:rsidRPr="00B72461">
        <w:rPr>
          <w:b/>
        </w:rPr>
        <w:t>Who Tortures Which Terrorists?</w:t>
      </w:r>
    </w:p>
    <w:p w:rsidR="00626873" w:rsidRPr="00E14437" w:rsidRDefault="00D55238" w:rsidP="00D534AA">
      <w:pPr>
        <w:spacing w:line="480" w:lineRule="auto"/>
        <w:rPr>
          <w:bCs/>
          <w:i/>
        </w:rPr>
      </w:pPr>
      <w:r w:rsidRPr="00D55238">
        <w:rPr>
          <w:bCs/>
          <w:i/>
        </w:rPr>
        <w:t>Disaggregating Terrorism and State Torture</w:t>
      </w:r>
    </w:p>
    <w:p w:rsidR="00D53E16" w:rsidRDefault="003A5806" w:rsidP="007F7F80">
      <w:pPr>
        <w:spacing w:line="480" w:lineRule="auto"/>
        <w:jc w:val="both"/>
      </w:pPr>
      <w:r>
        <w:tab/>
      </w:r>
      <w:r w:rsidR="00FB3AAF">
        <w:t xml:space="preserve">Does terrorism therefore provoke governments to engage in torture, either to obtain information to use in counterterrorism efforts or to deter terrorists and their supporters?  </w:t>
      </w:r>
      <w:r w:rsidR="00CC2811">
        <w:t>We argue that</w:t>
      </w:r>
      <w:r w:rsidR="00CC2811" w:rsidRPr="00B72461">
        <w:t xml:space="preserve"> the null or contradictory findings in previous empirical studies of terrorism and human rights abuses are affected by the failure </w:t>
      </w:r>
      <w:r w:rsidR="00CC2811">
        <w:t xml:space="preserve">to account for differences in the motives behind, and government reactions to, domestic and transnational terror. </w:t>
      </w:r>
      <w:r w:rsidR="00867479" w:rsidRPr="00B72461">
        <w:t>P</w:t>
      </w:r>
      <w:r w:rsidR="003756A9" w:rsidRPr="00B72461">
        <w:t>revious empirical research on the relationship between terrorism</w:t>
      </w:r>
      <w:r w:rsidR="007F7F80">
        <w:t xml:space="preserve"> and government torture</w:t>
      </w:r>
      <w:r w:rsidR="003756A9" w:rsidRPr="00B72461">
        <w:t xml:space="preserve"> has yielded mixed results. </w:t>
      </w:r>
      <w:r w:rsidR="00867479" w:rsidRPr="00B72461">
        <w:t xml:space="preserve">Although </w:t>
      </w:r>
      <w:r w:rsidR="003756A9" w:rsidRPr="00B72461">
        <w:t xml:space="preserve">Charters (1994) and Walsh and Piazza (2009) find </w:t>
      </w:r>
      <w:r w:rsidR="00867479" w:rsidRPr="00B72461">
        <w:t xml:space="preserve">no relationship between terrorism and </w:t>
      </w:r>
      <w:r w:rsidR="007F7F80">
        <w:t xml:space="preserve">state </w:t>
      </w:r>
      <w:r w:rsidR="00867479" w:rsidRPr="00B72461">
        <w:t>torture,</w:t>
      </w:r>
      <w:r w:rsidR="003756A9" w:rsidRPr="00B72461">
        <w:t xml:space="preserve"> Regan (2009) argues that terrorist threats </w:t>
      </w:r>
      <w:r w:rsidR="005654A2">
        <w:t>encourage</w:t>
      </w:r>
      <w:r w:rsidR="005654A2" w:rsidRPr="00B72461">
        <w:t xml:space="preserve"> </w:t>
      </w:r>
      <w:r w:rsidR="003756A9" w:rsidRPr="00B72461">
        <w:t xml:space="preserve">states to </w:t>
      </w:r>
      <w:r w:rsidR="00867479" w:rsidRPr="00B72461">
        <w:t>engage in</w:t>
      </w:r>
      <w:r w:rsidR="003756A9" w:rsidRPr="00B72461">
        <w:t xml:space="preserve"> torture and finds that torture reduces </w:t>
      </w:r>
      <w:r w:rsidR="00867479" w:rsidRPr="00B72461">
        <w:t xml:space="preserve">terrorist </w:t>
      </w:r>
      <w:r w:rsidR="003756A9" w:rsidRPr="00B72461">
        <w:lastRenderedPageBreak/>
        <w:t>attacks.</w:t>
      </w:r>
      <w:r w:rsidR="00463608">
        <w:t xml:space="preserve"> </w:t>
      </w:r>
      <w:r w:rsidR="000B18E1" w:rsidRPr="00B72461">
        <w:t xml:space="preserve">Although important, </w:t>
      </w:r>
      <w:r w:rsidR="005654A2">
        <w:t>all of this</w:t>
      </w:r>
      <w:r w:rsidR="005654A2" w:rsidRPr="00B72461">
        <w:t xml:space="preserve"> </w:t>
      </w:r>
      <w:r w:rsidR="000B18E1" w:rsidRPr="00B72461">
        <w:t>literature makes an implicit assumption that all state agents respond to political terror in the same manner</w:t>
      </w:r>
      <w:r w:rsidR="00D6523D">
        <w:t>, and that terrorism of all kinds elicits the same responses from governments</w:t>
      </w:r>
      <w:r w:rsidR="000B18E1" w:rsidRPr="00B72461">
        <w:t>.</w:t>
      </w:r>
      <w:r w:rsidR="00852F09">
        <w:t xml:space="preserve"> W</w:t>
      </w:r>
      <w:r w:rsidR="000B18E1" w:rsidRPr="00B72461">
        <w:t xml:space="preserve">e argue </w:t>
      </w:r>
      <w:r w:rsidR="007F7F80">
        <w:t xml:space="preserve">below </w:t>
      </w:r>
      <w:r w:rsidR="000B18E1" w:rsidRPr="00B72461">
        <w:t xml:space="preserve">that </w:t>
      </w:r>
      <w:r w:rsidR="00126634" w:rsidRPr="00B72461">
        <w:t>military authorities</w:t>
      </w:r>
      <w:r w:rsidR="005654A2">
        <w:t>, in particular,</w:t>
      </w:r>
      <w:r w:rsidR="0037391C">
        <w:t xml:space="preserve"> </w:t>
      </w:r>
      <w:r w:rsidR="00126634" w:rsidRPr="00B72461">
        <w:t>face</w:t>
      </w:r>
      <w:r w:rsidR="003B328A">
        <w:t xml:space="preserve"> specific</w:t>
      </w:r>
      <w:r w:rsidR="00126634" w:rsidRPr="00B72461">
        <w:t xml:space="preserve"> incentives to</w:t>
      </w:r>
      <w:r w:rsidR="0037391C">
        <w:t xml:space="preserve"> engage in</w:t>
      </w:r>
      <w:r w:rsidR="00126634" w:rsidRPr="00B72461">
        <w:t xml:space="preserve"> torture in response to transnational terrorist attacks</w:t>
      </w:r>
      <w:r w:rsidR="005A691B">
        <w:t>, and therefore expect terrorism to elicit higher levels of military torture</w:t>
      </w:r>
      <w:r w:rsidR="00463608">
        <w:t>.</w:t>
      </w:r>
    </w:p>
    <w:p w:rsidR="00E14437" w:rsidRDefault="0037391C" w:rsidP="0037391C">
      <w:pPr>
        <w:spacing w:line="480" w:lineRule="auto"/>
        <w:jc w:val="both"/>
      </w:pPr>
      <w:r>
        <w:rPr>
          <w:i/>
          <w:iCs/>
        </w:rPr>
        <w:tab/>
      </w:r>
      <w:r w:rsidR="00463608">
        <w:t>Although much</w:t>
      </w:r>
      <w:r w:rsidR="00463608" w:rsidRPr="00B72461">
        <w:t xml:space="preserve"> </w:t>
      </w:r>
      <w:r w:rsidR="00626873" w:rsidRPr="00B72461">
        <w:t xml:space="preserve">of the literature </w:t>
      </w:r>
      <w:r w:rsidR="00463608">
        <w:t xml:space="preserve">on terrorism </w:t>
      </w:r>
      <w:r w:rsidR="006E28B1">
        <w:t>fails to</w:t>
      </w:r>
      <w:r w:rsidR="000A0BB9" w:rsidRPr="00B72461">
        <w:t xml:space="preserve"> distinguish </w:t>
      </w:r>
      <w:r w:rsidR="00626873" w:rsidRPr="00B72461">
        <w:t xml:space="preserve">between transnational and domestic </w:t>
      </w:r>
      <w:r w:rsidR="00463608">
        <w:t>attacks,</w:t>
      </w:r>
      <w:r w:rsidR="00626873" w:rsidRPr="00B72461">
        <w:t xml:space="preserve"> there </w:t>
      </w:r>
      <w:r w:rsidR="00723C23" w:rsidRPr="00B72461">
        <w:t>are</w:t>
      </w:r>
      <w:r w:rsidR="00463608">
        <w:t xml:space="preserve"> potentially </w:t>
      </w:r>
      <w:r w:rsidR="00626873" w:rsidRPr="00B72461">
        <w:t>different motives behin</w:t>
      </w:r>
      <w:r w:rsidR="00D51ABA" w:rsidRPr="00B72461">
        <w:t>d</w:t>
      </w:r>
      <w:r w:rsidR="00463608">
        <w:t>—and d</w:t>
      </w:r>
      <w:r w:rsidR="00723C23" w:rsidRPr="00B72461">
        <w:t xml:space="preserve">ifferent </w:t>
      </w:r>
      <w:r w:rsidR="00626873" w:rsidRPr="00B72461">
        <w:t>government reactions t</w:t>
      </w:r>
      <w:r w:rsidR="00D51ABA" w:rsidRPr="00B72461">
        <w:t>o</w:t>
      </w:r>
      <w:r w:rsidR="00463608">
        <w:t>—</w:t>
      </w:r>
      <w:r w:rsidR="00001FB6">
        <w:t>these types of</w:t>
      </w:r>
      <w:r w:rsidR="00626873" w:rsidRPr="00B72461">
        <w:t xml:space="preserve"> terrorism (Findley and Young 2011)</w:t>
      </w:r>
      <w:r w:rsidR="00463608">
        <w:t xml:space="preserve">. </w:t>
      </w:r>
      <w:r w:rsidR="00E5789C" w:rsidRPr="00B72461">
        <w:t>We define domestic terrorism as</w:t>
      </w:r>
      <w:r w:rsidR="00626873" w:rsidRPr="00B72461">
        <w:t xml:space="preserve"> terrorist activity </w:t>
      </w:r>
      <w:r w:rsidR="00D6523D">
        <w:t xml:space="preserve">occurring within one country </w:t>
      </w:r>
      <w:r w:rsidR="00626873" w:rsidRPr="00B72461">
        <w:t>directed against co-nationals or co-national targets</w:t>
      </w:r>
      <w:r w:rsidR="00E5789C" w:rsidRPr="00B72461">
        <w:t xml:space="preserve">. Such terrorism often </w:t>
      </w:r>
      <w:r w:rsidR="00626873" w:rsidRPr="00B72461">
        <w:t>indicate</w:t>
      </w:r>
      <w:r w:rsidR="00E5789C" w:rsidRPr="00B72461">
        <w:t>s</w:t>
      </w:r>
      <w:r w:rsidR="00626873" w:rsidRPr="00B72461">
        <w:t xml:space="preserve"> </w:t>
      </w:r>
      <w:r w:rsidR="00C246E8" w:rsidRPr="00B72461">
        <w:t xml:space="preserve">that </w:t>
      </w:r>
      <w:r w:rsidR="00626873" w:rsidRPr="00B72461">
        <w:t>a dissenting sub-national group seek</w:t>
      </w:r>
      <w:r w:rsidR="00E5789C" w:rsidRPr="00B72461">
        <w:t>s</w:t>
      </w:r>
      <w:r w:rsidR="00626873" w:rsidRPr="00B72461">
        <w:t xml:space="preserve"> policy change within the </w:t>
      </w:r>
      <w:r w:rsidR="00E5789C" w:rsidRPr="00B72461">
        <w:t xml:space="preserve">confines of the </w:t>
      </w:r>
      <w:r w:rsidR="00626873" w:rsidRPr="00B72461">
        <w:t xml:space="preserve">domestic political environment. </w:t>
      </w:r>
      <w:r w:rsidR="000104F5" w:rsidRPr="00B72461">
        <w:t>T</w:t>
      </w:r>
      <w:r w:rsidR="00626873" w:rsidRPr="00B72461">
        <w:t xml:space="preserve">ransnational attacks, which </w:t>
      </w:r>
      <w:r w:rsidR="00E5789C" w:rsidRPr="00B72461">
        <w:t xml:space="preserve">we </w:t>
      </w:r>
      <w:r w:rsidR="009D3F38" w:rsidRPr="00B72461">
        <w:t>define as</w:t>
      </w:r>
      <w:r w:rsidR="00626873" w:rsidRPr="00B72461">
        <w:t xml:space="preserve"> </w:t>
      </w:r>
      <w:r w:rsidR="00E5789C" w:rsidRPr="00B72461">
        <w:t xml:space="preserve">terrorist </w:t>
      </w:r>
      <w:r w:rsidR="00626873" w:rsidRPr="00B72461">
        <w:t>activit</w:t>
      </w:r>
      <w:r w:rsidR="00C246E8" w:rsidRPr="00B72461">
        <w:t>ies</w:t>
      </w:r>
      <w:r w:rsidR="00626873" w:rsidRPr="00B72461">
        <w:t xml:space="preserve"> perpetrated against foreign nationals, foreign targets or across national boundaries, involve groups seeking to force policy changes affect</w:t>
      </w:r>
      <w:r w:rsidR="00997E68" w:rsidRPr="00B72461">
        <w:t>ing</w:t>
      </w:r>
      <w:r w:rsidR="00626873" w:rsidRPr="00B72461">
        <w:t xml:space="preserve"> other countries (Findley and Young 2011). </w:t>
      </w:r>
      <w:r w:rsidR="0011708E" w:rsidRPr="00B72461">
        <w:t>T</w:t>
      </w:r>
      <w:r w:rsidR="00626873" w:rsidRPr="00B72461">
        <w:t xml:space="preserve">ransnational attacks </w:t>
      </w:r>
      <w:r w:rsidR="0056275B">
        <w:t xml:space="preserve">within a country </w:t>
      </w:r>
      <w:r w:rsidR="00626873" w:rsidRPr="00B72461">
        <w:t xml:space="preserve">involve threats generated </w:t>
      </w:r>
      <w:r w:rsidR="00626873" w:rsidRPr="00B72461">
        <w:rPr>
          <w:i/>
          <w:iCs/>
        </w:rPr>
        <w:t>outside</w:t>
      </w:r>
      <w:r w:rsidR="00626873" w:rsidRPr="00B72461">
        <w:t xml:space="preserve"> of a state’s borders.</w:t>
      </w:r>
      <w:r w:rsidR="00D51ABA" w:rsidRPr="00B72461">
        <w:t xml:space="preserve"> </w:t>
      </w:r>
    </w:p>
    <w:p w:rsidR="00D66C32" w:rsidRPr="00752A41" w:rsidRDefault="00E14437" w:rsidP="00E14437">
      <w:pPr>
        <w:spacing w:line="480" w:lineRule="auto"/>
        <w:ind w:firstLine="720"/>
        <w:jc w:val="both"/>
      </w:pPr>
      <w:r w:rsidRPr="00B72461">
        <w:t xml:space="preserve">We build on the differences between transnational and domestic terrorism to develop expectations about how heterogeneous government agencies change their practices in response to </w:t>
      </w:r>
      <w:r w:rsidR="00CC2811">
        <w:t>terrorist attacks</w:t>
      </w:r>
      <w:r w:rsidRPr="00B72461">
        <w:t>. Previous work investigating the effect of terrorism on torture assumes the “state” to be responsible for violatio</w:t>
      </w:r>
      <w:r w:rsidR="00CC2811">
        <w:t>ns of human rights. But</w:t>
      </w:r>
      <w:r w:rsidRPr="00B72461">
        <w:t xml:space="preserve"> there are several distinct agencies within the state that have the opportunity to engage in torture, and their incentives to torture change in distinct ways when a state experiences a terrorist attack.</w:t>
      </w:r>
      <w:r w:rsidR="00CC2811">
        <w:t xml:space="preserve"> </w:t>
      </w:r>
      <w:r w:rsidR="005654A2">
        <w:t xml:space="preserve">In what follows, </w:t>
      </w:r>
      <w:r w:rsidR="00CC2811">
        <w:t>w</w:t>
      </w:r>
      <w:r w:rsidRPr="00B72461">
        <w:t xml:space="preserve">e argue that the military has systematically different </w:t>
      </w:r>
      <w:r w:rsidRPr="00752A41">
        <w:lastRenderedPageBreak/>
        <w:t>policy priorities and counterterrorism tools at their disposal than other agencies and that these differences influence decisions to employ torture in predictable ways.</w:t>
      </w:r>
    </w:p>
    <w:p w:rsidR="002767B7" w:rsidRPr="00752A41" w:rsidRDefault="00E14437" w:rsidP="00E14437">
      <w:pPr>
        <w:spacing w:line="480" w:lineRule="auto"/>
        <w:jc w:val="both"/>
      </w:pPr>
      <w:r w:rsidRPr="00752A41">
        <w:tab/>
      </w:r>
    </w:p>
    <w:p w:rsidR="002767B7" w:rsidRPr="00752A41" w:rsidRDefault="00720FB7">
      <w:pPr>
        <w:spacing w:line="480" w:lineRule="auto"/>
        <w:jc w:val="both"/>
        <w:rPr>
          <w:i/>
        </w:rPr>
      </w:pPr>
      <w:r w:rsidRPr="00752A41">
        <w:rPr>
          <w:i/>
        </w:rPr>
        <w:t>Transnational Terrorism and Military Torture</w:t>
      </w:r>
    </w:p>
    <w:p w:rsidR="009A6852" w:rsidRDefault="0007708A" w:rsidP="008C1428">
      <w:pPr>
        <w:spacing w:line="480" w:lineRule="auto"/>
        <w:ind w:firstLine="720"/>
        <w:jc w:val="both"/>
      </w:pPr>
      <w:r w:rsidRPr="00752A41">
        <w:t xml:space="preserve">Within the “state,” Amnesty International (AI) most often accuses three agencies of torture: the military, the police, and </w:t>
      </w:r>
      <w:r w:rsidR="00877CC5" w:rsidRPr="00752A41">
        <w:t>prison and detention authorities</w:t>
      </w:r>
      <w:r w:rsidRPr="00752A41">
        <w:t xml:space="preserve"> </w:t>
      </w:r>
      <w:r w:rsidR="00877CC5" w:rsidRPr="00752A41">
        <w:t xml:space="preserve"> </w:t>
      </w:r>
      <w:r w:rsidRPr="00752A41">
        <w:t xml:space="preserve">(Conrad, </w:t>
      </w:r>
      <w:proofErr w:type="spellStart"/>
      <w:r w:rsidRPr="00752A41">
        <w:t>Haglund</w:t>
      </w:r>
      <w:proofErr w:type="spellEnd"/>
      <w:r w:rsidRPr="00752A41">
        <w:t xml:space="preserve">, and Moore 2013). Although each of these agencies </w:t>
      </w:r>
      <w:r w:rsidR="002306F9">
        <w:t>is</w:t>
      </w:r>
      <w:r w:rsidR="002306F9" w:rsidRPr="00752A41">
        <w:t xml:space="preserve"> </w:t>
      </w:r>
      <w:r w:rsidRPr="00752A41">
        <w:t xml:space="preserve">frequently accused of torture, their incentives to respond to </w:t>
      </w:r>
      <w:r w:rsidR="00675F43" w:rsidRPr="00752A41">
        <w:t xml:space="preserve">transnational </w:t>
      </w:r>
      <w:r w:rsidRPr="00752A41">
        <w:t>terrorist attacks with torture are quite different</w:t>
      </w:r>
      <w:r w:rsidR="00F76A38" w:rsidRPr="00752A41">
        <w:t xml:space="preserve"> from one another</w:t>
      </w:r>
      <w:r w:rsidRPr="00752A41">
        <w:t xml:space="preserve">. For prison guards, the primary motivation for torture and </w:t>
      </w:r>
      <w:proofErr w:type="gramStart"/>
      <w:r w:rsidRPr="00752A41">
        <w:t>ill-treatment</w:t>
      </w:r>
      <w:proofErr w:type="gramEnd"/>
      <w:r w:rsidRPr="00752A41">
        <w:t xml:space="preserve"> is control of the prison population—not information acquisition or the intimidation of potential terrorists. As such, we do not expect prison officials to increase torture in response to terrorist activity. </w:t>
      </w:r>
    </w:p>
    <w:p w:rsidR="009A6852" w:rsidRDefault="00675F43" w:rsidP="008C1428">
      <w:pPr>
        <w:spacing w:line="480" w:lineRule="auto"/>
        <w:ind w:firstLine="720"/>
        <w:jc w:val="both"/>
      </w:pPr>
      <w:r w:rsidRPr="00752A41">
        <w:t xml:space="preserve">What of police? </w:t>
      </w:r>
      <w:r w:rsidR="00ED1BCC" w:rsidRPr="00ED1BCC">
        <w:t xml:space="preserve">The primary responsibility of police forces, unlike military officials, is to contend with domestic security threats, including the investigation and prevention of crime, political dissent, and public disorder.   This focus provides police forces with strong motives to address domestic rather than transnational terrorist threats. Compared to the military, police have a comparative advantage in countering domestic terrorism. Since the police provide security to local communities, they maintain ongoing connections that are useful for the collection of intelligence about domestic terrorist groups.   Domestic terrorist groups are also likely to engage in violent and non-violent crime, including bank robberies and fraud, to fund their political activities (Hamm and Van de </w:t>
      </w:r>
      <w:proofErr w:type="spellStart"/>
      <w:r w:rsidR="00ED1BCC" w:rsidRPr="00ED1BCC">
        <w:t>Voorde</w:t>
      </w:r>
      <w:proofErr w:type="spellEnd"/>
      <w:r w:rsidR="00ED1BCC" w:rsidRPr="00ED1BCC">
        <w:t xml:space="preserve"> 2006). Police forces already have at their disposal a range of skills and techniques for identifying and punishing such criminal activity, including surveillance, </w:t>
      </w:r>
      <w:r w:rsidR="00ED1BCC" w:rsidRPr="00ED1BCC">
        <w:lastRenderedPageBreak/>
        <w:t>connections with local informants, community policing, the ability to detain and question suspects, and the power to charge and try suspected criminals (</w:t>
      </w:r>
      <w:proofErr w:type="spellStart"/>
      <w:r w:rsidR="00ED1BCC" w:rsidRPr="00ED1BCC">
        <w:t>McGarrell</w:t>
      </w:r>
      <w:proofErr w:type="spellEnd"/>
      <w:r w:rsidR="00ED1BCC" w:rsidRPr="00ED1BCC">
        <w:t xml:space="preserve">, </w:t>
      </w:r>
      <w:proofErr w:type="spellStart"/>
      <w:r w:rsidR="00ED1BCC" w:rsidRPr="00ED1BCC">
        <w:t>Freilich</w:t>
      </w:r>
      <w:proofErr w:type="spellEnd"/>
      <w:r w:rsidR="00ED1BCC" w:rsidRPr="00ED1BCC">
        <w:t xml:space="preserve"> and </w:t>
      </w:r>
      <w:proofErr w:type="spellStart"/>
      <w:r w:rsidR="00ED1BCC" w:rsidRPr="00ED1BCC">
        <w:t>Chermak</w:t>
      </w:r>
      <w:proofErr w:type="spellEnd"/>
      <w:r w:rsidR="00ED1BCC" w:rsidRPr="00ED1BCC">
        <w:t xml:space="preserve"> 2007). These tools can be used to collect intelligence about and to punish domestic terrorist groups, making local police organizations the natural first line of defense against </w:t>
      </w:r>
      <w:proofErr w:type="gramStart"/>
      <w:r w:rsidR="00ED1BCC" w:rsidRPr="00ED1BCC">
        <w:t>home-grown</w:t>
      </w:r>
      <w:proofErr w:type="gramEnd"/>
      <w:r w:rsidR="00ED1BCC" w:rsidRPr="00ED1BCC">
        <w:t xml:space="preserve"> terrorism. </w:t>
      </w:r>
    </w:p>
    <w:p w:rsidR="00D53E16" w:rsidRDefault="00ED1BCC" w:rsidP="008C1428">
      <w:pPr>
        <w:spacing w:line="480" w:lineRule="auto"/>
        <w:ind w:firstLine="720"/>
        <w:jc w:val="both"/>
      </w:pPr>
      <w:r w:rsidRPr="00ED1BCC">
        <w:t xml:space="preserve">Police forces, then, are especially motivated to counter threats from domestic terrorist organizations. And like the military, they face incentives to engage in torture against individuals who are affiliated with such organizations; torture has the potential to provide immediate intelligence about future terrorist attacks and to deter individuals from joining or otherwise supporting terrorist organizations.  But the police lack a clear advantage in countering transnational terrorists, because such groups are based overseas and outside of the area of police responsibility. </w:t>
      </w:r>
      <w:r w:rsidR="00626873" w:rsidRPr="00752A41">
        <w:t xml:space="preserve">Because transnational terrorism originates from </w:t>
      </w:r>
      <w:r w:rsidR="00CB315C" w:rsidRPr="00752A41">
        <w:t>outside national borders</w:t>
      </w:r>
      <w:r w:rsidR="00626873" w:rsidRPr="00752A41">
        <w:t xml:space="preserve">, states </w:t>
      </w:r>
      <w:r w:rsidR="00CB315C" w:rsidRPr="00752A41">
        <w:t>view it primarily as a</w:t>
      </w:r>
      <w:r w:rsidR="00626873" w:rsidRPr="00752A41">
        <w:t xml:space="preserve"> foreign threat</w:t>
      </w:r>
      <w:r w:rsidR="006C51CF" w:rsidRPr="00752A41">
        <w:t xml:space="preserve">. As a result, </w:t>
      </w:r>
      <w:r w:rsidR="005D1A1D" w:rsidRPr="00752A41">
        <w:t>both offensive and defensive</w:t>
      </w:r>
      <w:r w:rsidR="006C51CF" w:rsidRPr="00752A41">
        <w:t xml:space="preserve"> response</w:t>
      </w:r>
      <w:r w:rsidR="005D1A1D" w:rsidRPr="00752A41">
        <w:t>s</w:t>
      </w:r>
      <w:r w:rsidR="006C51CF" w:rsidRPr="00752A41">
        <w:t xml:space="preserve"> to transnational terrorism</w:t>
      </w:r>
      <w:r w:rsidR="005D1A1D" w:rsidRPr="00752A41">
        <w:t xml:space="preserve"> fall</w:t>
      </w:r>
      <w:r w:rsidR="006C51CF" w:rsidRPr="00752A41">
        <w:t xml:space="preserve"> primarily within the jurisdiction of the military. </w:t>
      </w:r>
      <w:r w:rsidR="00626873" w:rsidRPr="00752A41">
        <w:t xml:space="preserve">Militaries </w:t>
      </w:r>
      <w:r w:rsidR="00C16310" w:rsidRPr="00752A41">
        <w:t>are</w:t>
      </w:r>
      <w:r w:rsidR="006C51CF" w:rsidRPr="00752A41">
        <w:t xml:space="preserve"> especially likely to view</w:t>
      </w:r>
      <w:r w:rsidR="00626873" w:rsidRPr="00752A41">
        <w:t xml:space="preserve"> transnational terrorism as </w:t>
      </w:r>
      <w:r w:rsidR="006C51CF" w:rsidRPr="00752A41">
        <w:t>their responsibility</w:t>
      </w:r>
      <w:r w:rsidR="00626873" w:rsidRPr="00752A41">
        <w:t xml:space="preserve"> because transnational terrorism </w:t>
      </w:r>
      <w:r w:rsidR="00852F09" w:rsidRPr="00752A41">
        <w:t>may be</w:t>
      </w:r>
      <w:r w:rsidR="00D55238" w:rsidRPr="00752A41">
        <w:t xml:space="preserve"> an attempt by a rival state to use force (Conrad 2011</w:t>
      </w:r>
      <w:r w:rsidR="00645D2B" w:rsidRPr="00752A41">
        <w:t>;</w:t>
      </w:r>
      <w:r w:rsidR="006C51CF" w:rsidRPr="00752A41">
        <w:t xml:space="preserve"> </w:t>
      </w:r>
      <w:r w:rsidR="000B373E" w:rsidRPr="00752A41">
        <w:t>Findley, Piazza, and Young</w:t>
      </w:r>
      <w:r w:rsidR="007259E9" w:rsidRPr="00752A41">
        <w:t xml:space="preserve"> </w:t>
      </w:r>
      <w:r w:rsidR="00992DB1" w:rsidRPr="00752A41">
        <w:t>2012</w:t>
      </w:r>
      <w:r w:rsidR="00626873" w:rsidRPr="00752A41">
        <w:t>)</w:t>
      </w:r>
      <w:r w:rsidR="006C51CF" w:rsidRPr="00752A41">
        <w:t xml:space="preserve"> in a clandestine manner. </w:t>
      </w:r>
      <w:r w:rsidR="00626873" w:rsidRPr="00752A41">
        <w:t xml:space="preserve">Since militaries are primarily concerned with defending against aggression </w:t>
      </w:r>
      <w:r w:rsidR="00CB315C" w:rsidRPr="00752A41">
        <w:t xml:space="preserve">emanating </w:t>
      </w:r>
      <w:r w:rsidR="00626873" w:rsidRPr="00752A41">
        <w:t>from other states, th</w:t>
      </w:r>
      <w:r w:rsidR="00D55238" w:rsidRPr="00752A41">
        <w:t xml:space="preserve">e relationship between interstate rivalry and terrorism provides executives with incentives to delegate </w:t>
      </w:r>
      <w:r w:rsidR="002A63F9" w:rsidRPr="00752A41">
        <w:t xml:space="preserve">transnational </w:t>
      </w:r>
      <w:r w:rsidR="00D55238" w:rsidRPr="00752A41">
        <w:t>coun</w:t>
      </w:r>
      <w:r w:rsidR="00D55238" w:rsidRPr="00D55238">
        <w:t xml:space="preserve">terterrorism to the military. </w:t>
      </w:r>
    </w:p>
    <w:p w:rsidR="00626873" w:rsidRPr="00B72461" w:rsidRDefault="00D55238" w:rsidP="009060BA">
      <w:pPr>
        <w:spacing w:line="480" w:lineRule="auto"/>
        <w:ind w:firstLine="720"/>
        <w:jc w:val="both"/>
      </w:pPr>
      <w:r w:rsidRPr="00D55238">
        <w:t>Why might military forces</w:t>
      </w:r>
      <w:r w:rsidR="004B305C">
        <w:t>—unlike prison guards and police officers—</w:t>
      </w:r>
      <w:r w:rsidRPr="00D55238">
        <w:t xml:space="preserve">respond to transnational terrorist attacks with torture? Militaries are especially likely to view torture as a means by which to quickly gain information about terrorist groups’ headquarters, </w:t>
      </w:r>
      <w:r w:rsidRPr="00D55238">
        <w:lastRenderedPageBreak/>
        <w:t xml:space="preserve">membership, organizational structure, and other details that can be used to plan counter-attacks. Militaries devote considerable resources to gathering and analyzing intelligence and planning methods by which to counter foreign military threats and on reducing uncertainty in their environment (Posen 1984). But they historically have devoted far less attention to threats emanating from transnational terrorist groups. </w:t>
      </w:r>
      <w:r w:rsidR="00970A84">
        <w:t>Instead, most national militaries have emulated their counterparts in western great powers, focusing their energy and attention on developing</w:t>
      </w:r>
      <w:r w:rsidR="00B020D3">
        <w:t xml:space="preserve"> offensive strategies and weapo</w:t>
      </w:r>
      <w:r w:rsidR="00970A84">
        <w:t>n</w:t>
      </w:r>
      <w:r w:rsidR="00B020D3">
        <w:t>s</w:t>
      </w:r>
      <w:r w:rsidR="00970A84">
        <w:t xml:space="preserve"> systems and defining their key foes as similarly equipped, mechanized </w:t>
      </w:r>
      <w:r w:rsidR="00EF1C9D">
        <w:t>forces of foreign countries. The bureaucratic politics of military forces tend to downplay the importance of threats from non-state sources</w:t>
      </w:r>
      <w:r w:rsidR="00431742">
        <w:t xml:space="preserve"> including</w:t>
      </w:r>
      <w:r w:rsidR="00EF1C9D">
        <w:t xml:space="preserve"> terrorist groups (</w:t>
      </w:r>
      <w:r w:rsidR="00431742">
        <w:t>e.g., Posen 1984; Cassidy</w:t>
      </w:r>
      <w:r w:rsidR="00EF1C9D">
        <w:t xml:space="preserve"> 2006).</w:t>
      </w:r>
      <w:r w:rsidR="00970A84">
        <w:t xml:space="preserve"> </w:t>
      </w:r>
      <w:r w:rsidRPr="00D55238">
        <w:t xml:space="preserve">As a result, when a transnational terrorist attack occurs, the military often does not have intelligence about the responsible group. Torturing suspected terrorists is one way that military forces remedy these shortcomings, garnering intelligence to prevent attacks or to increase the likelihood that repression is targeted at terrorists rather than the general population. </w:t>
      </w:r>
    </w:p>
    <w:p w:rsidR="00001FB6" w:rsidRDefault="00D55238" w:rsidP="0001214E">
      <w:pPr>
        <w:spacing w:line="480" w:lineRule="auto"/>
        <w:ind w:firstLine="720"/>
        <w:jc w:val="both"/>
      </w:pPr>
      <w:r w:rsidRPr="00D55238">
        <w:t>Torture is also relatively easy for military forces to implement quickly in response to a terrorist attack; it does not require sophisticated or expensive equipment, and it can be practiced covertly without leaving marks on the victim’s body (</w:t>
      </w:r>
      <w:proofErr w:type="spellStart"/>
      <w:r w:rsidRPr="00D55238">
        <w:t>Rejali</w:t>
      </w:r>
      <w:proofErr w:type="spellEnd"/>
      <w:r w:rsidRPr="00D55238">
        <w:t xml:space="preserve"> 2007).</w:t>
      </w:r>
      <w:r w:rsidR="004B305C">
        <w:t xml:space="preserve"> M</w:t>
      </w:r>
      <w:r w:rsidRPr="00D55238">
        <w:t>ilitaries around the world have experience with torture techniques, both because torture is the most widely violated right to physical integrity (</w:t>
      </w:r>
      <w:proofErr w:type="spellStart"/>
      <w:r w:rsidRPr="00D55238">
        <w:t>Cingranelli</w:t>
      </w:r>
      <w:proofErr w:type="spellEnd"/>
      <w:r w:rsidRPr="00D55238">
        <w:t xml:space="preserve"> </w:t>
      </w:r>
      <w:r w:rsidR="00C16310">
        <w:t>and</w:t>
      </w:r>
      <w:r w:rsidR="000B373E" w:rsidRPr="00B72461">
        <w:t xml:space="preserve"> Richards 1999</w:t>
      </w:r>
      <w:r w:rsidR="009060BA" w:rsidRPr="00B72461">
        <w:t>) and because</w:t>
      </w:r>
      <w:r w:rsidR="004B305C">
        <w:t xml:space="preserve">, unlike police officers and prison guards, </w:t>
      </w:r>
      <w:r w:rsidR="00626873" w:rsidRPr="00B72461">
        <w:t xml:space="preserve">they train their personnel to resist torture if captured by enemy forces. Following allegations that </w:t>
      </w:r>
      <w:r w:rsidR="00C16310">
        <w:t>United States</w:t>
      </w:r>
      <w:r w:rsidR="00626873" w:rsidRPr="00B72461">
        <w:t xml:space="preserve"> servicemen during the Korean War had given up sensitive information after being tortured, </w:t>
      </w:r>
      <w:r w:rsidR="006B72B9" w:rsidRPr="00B72461">
        <w:t xml:space="preserve">for example, </w:t>
      </w:r>
      <w:r w:rsidR="00626873" w:rsidRPr="00B72461">
        <w:t xml:space="preserve">the </w:t>
      </w:r>
      <w:r w:rsidR="00C16310">
        <w:t>US</w:t>
      </w:r>
      <w:r w:rsidR="00626873" w:rsidRPr="00B72461">
        <w:t xml:space="preserve"> military </w:t>
      </w:r>
      <w:r w:rsidR="006B72B9" w:rsidRPr="00B72461">
        <w:t>began to</w:t>
      </w:r>
      <w:r w:rsidR="00626873" w:rsidRPr="00B72461">
        <w:t xml:space="preserve"> systematically teach its soldiers to resist torture </w:t>
      </w:r>
      <w:r w:rsidR="00626873" w:rsidRPr="00B72461">
        <w:lastRenderedPageBreak/>
        <w:t>techniques.</w:t>
      </w:r>
      <w:r w:rsidR="00A14822" w:rsidRPr="00B72461">
        <w:t xml:space="preserve"> </w:t>
      </w:r>
      <w:r w:rsidR="00626873" w:rsidRPr="00B72461">
        <w:t xml:space="preserve"> In the course of doing so, </w:t>
      </w:r>
      <w:r w:rsidR="006B72B9" w:rsidRPr="00B72461">
        <w:t xml:space="preserve">several </w:t>
      </w:r>
      <w:r w:rsidR="00626873" w:rsidRPr="00B72461">
        <w:t xml:space="preserve">branches of the </w:t>
      </w:r>
      <w:r w:rsidR="00C16310">
        <w:t>US</w:t>
      </w:r>
      <w:r w:rsidR="00626873" w:rsidRPr="00B72461">
        <w:t xml:space="preserve"> military became intimately familiar with popular torture techniques. </w:t>
      </w:r>
      <w:r w:rsidR="004110A0" w:rsidRPr="00B72461">
        <w:t>In short, t</w:t>
      </w:r>
      <w:r w:rsidR="00626873" w:rsidRPr="00B72461">
        <w:t>orture offers</w:t>
      </w:r>
      <w:r w:rsidR="00626EC7" w:rsidRPr="00B72461">
        <w:t xml:space="preserve"> </w:t>
      </w:r>
      <w:r w:rsidR="005D15D9" w:rsidRPr="00B72461">
        <w:t>an inexpensive</w:t>
      </w:r>
      <w:r w:rsidR="00626873" w:rsidRPr="00B72461">
        <w:t xml:space="preserve">, familiar tactic that militaries can </w:t>
      </w:r>
      <w:r w:rsidR="0001214E">
        <w:t xml:space="preserve">quickly </w:t>
      </w:r>
      <w:r w:rsidR="00626873" w:rsidRPr="00B72461">
        <w:t>implement to gain intelligence</w:t>
      </w:r>
      <w:r w:rsidR="004110A0" w:rsidRPr="00B72461">
        <w:t xml:space="preserve"> against </w:t>
      </w:r>
      <w:r w:rsidR="00433016" w:rsidRPr="00B72461">
        <w:t xml:space="preserve">transnational </w:t>
      </w:r>
      <w:r w:rsidR="004110A0" w:rsidRPr="00B72461">
        <w:t>terrorist groups and their</w:t>
      </w:r>
      <w:r w:rsidR="00626EC7" w:rsidRPr="00B72461">
        <w:t xml:space="preserve"> </w:t>
      </w:r>
      <w:r w:rsidR="002E3921" w:rsidRPr="00B72461">
        <w:t>supporters</w:t>
      </w:r>
      <w:r w:rsidR="00626873" w:rsidRPr="00B72461">
        <w:t>.</w:t>
      </w:r>
      <w:r w:rsidR="004110A0" w:rsidRPr="00B72461">
        <w:t xml:space="preserve"> This</w:t>
      </w:r>
      <w:r w:rsidR="00626873" w:rsidRPr="00B72461">
        <w:t xml:space="preserve"> increased intelligence, </w:t>
      </w:r>
      <w:r w:rsidR="002E3921" w:rsidRPr="00B72461">
        <w:t xml:space="preserve">combined </w:t>
      </w:r>
      <w:r w:rsidR="00626873" w:rsidRPr="00B72461">
        <w:t xml:space="preserve">with the military’s traditional force capabilities, can </w:t>
      </w:r>
      <w:r w:rsidR="006B72B9" w:rsidRPr="00B72461">
        <w:t xml:space="preserve">potentially </w:t>
      </w:r>
      <w:r w:rsidR="00626873" w:rsidRPr="00B72461">
        <w:t>be used to reduce the likelihood of future attack</w:t>
      </w:r>
      <w:r w:rsidR="004110A0" w:rsidRPr="00B72461">
        <w:t>s</w:t>
      </w:r>
      <w:r w:rsidR="00626873" w:rsidRPr="00B72461">
        <w:t>.</w:t>
      </w:r>
      <w:r w:rsidR="0001214E">
        <w:t xml:space="preserve"> </w:t>
      </w:r>
    </w:p>
    <w:p w:rsidR="00431742" w:rsidRDefault="0001214E" w:rsidP="002A63F9">
      <w:pPr>
        <w:spacing w:line="480" w:lineRule="auto"/>
        <w:ind w:firstLine="720"/>
        <w:jc w:val="both"/>
      </w:pPr>
      <w:r>
        <w:t>N</w:t>
      </w:r>
      <w:r w:rsidR="00CF5D10" w:rsidRPr="00B72461">
        <w:t xml:space="preserve">ational militaries </w:t>
      </w:r>
      <w:r>
        <w:t xml:space="preserve">also </w:t>
      </w:r>
      <w:r w:rsidR="00CF5D10" w:rsidRPr="00B72461">
        <w:t>often have considerable institutional autonomy that gives them the leeway to respond to foreign threats</w:t>
      </w:r>
      <w:r w:rsidR="00431742">
        <w:t>. This is in contrast to their limited ability to respond to domestic threats, especially in democracies.</w:t>
      </w:r>
      <w:r w:rsidR="00431742">
        <w:rPr>
          <w:rStyle w:val="FootnoteReference"/>
        </w:rPr>
        <w:footnoteReference w:id="8"/>
      </w:r>
      <w:r w:rsidR="00CF5D10" w:rsidRPr="00B72461">
        <w:t xml:space="preserve"> </w:t>
      </w:r>
      <w:r w:rsidR="00431742">
        <w:t>The</w:t>
      </w:r>
      <w:r w:rsidR="00CF5D10" w:rsidRPr="00B72461">
        <w:t xml:space="preserve"> relative freedom from oversight by civilian authorities and the public is rooted, in part, in the desire</w:t>
      </w:r>
      <w:r w:rsidR="00EE6A31" w:rsidRPr="00B72461">
        <w:t xml:space="preserve"> to</w:t>
      </w:r>
      <w:r w:rsidR="00CF5D10" w:rsidRPr="00B72461">
        <w:t xml:space="preserve"> mask military strategies and tactics from foreign foes. </w:t>
      </w:r>
      <w:r w:rsidR="004E3C3D">
        <w:t>In other cases, formal legal restrictions limit or prohibit military engagement in domestic matters, except under extraordinary circumstances. Military autonomy to deal with foreign threats</w:t>
      </w:r>
      <w:r w:rsidR="004E3C3D" w:rsidRPr="00B72461">
        <w:t xml:space="preserve"> </w:t>
      </w:r>
      <w:r w:rsidR="00CF5D10" w:rsidRPr="00B72461">
        <w:t>also reflects a desire to benefit from specialization, in which professional military personnel develop expertise in the most effective forms of violence for a given goal.</w:t>
      </w:r>
      <w:r w:rsidR="002A63F9">
        <w:t xml:space="preserve">  </w:t>
      </w:r>
    </w:p>
    <w:p w:rsidR="006C3358" w:rsidRDefault="0001214E" w:rsidP="002A63F9">
      <w:pPr>
        <w:spacing w:line="480" w:lineRule="auto"/>
        <w:ind w:firstLine="720"/>
        <w:jc w:val="both"/>
      </w:pPr>
      <w:r>
        <w:t>O</w:t>
      </w:r>
      <w:r w:rsidR="00EE6A31" w:rsidRPr="00B72461">
        <w:t xml:space="preserve">versight of </w:t>
      </w:r>
      <w:r>
        <w:t>military</w:t>
      </w:r>
      <w:r w:rsidR="00EE6A31" w:rsidRPr="00B72461">
        <w:t xml:space="preserve"> institutions may be</w:t>
      </w:r>
      <w:r>
        <w:t xml:space="preserve"> less</w:t>
      </w:r>
      <w:r w:rsidR="00CF5D10" w:rsidRPr="00B72461">
        <w:t xml:space="preserve"> robust during times of threat from a foreign source</w:t>
      </w:r>
      <w:r>
        <w:t>, providing additional incentives for militaries to turn to torture when they face terrorist activities</w:t>
      </w:r>
      <w:r w:rsidR="00CF5D10" w:rsidRPr="00B72461">
        <w:t xml:space="preserve">. </w:t>
      </w:r>
      <w:r w:rsidR="002A63F9">
        <w:t>Using a</w:t>
      </w:r>
      <w:r>
        <w:t xml:space="preserve"> </w:t>
      </w:r>
      <w:r w:rsidR="00001FB6">
        <w:t>principal-</w:t>
      </w:r>
      <w:r>
        <w:t xml:space="preserve">agency framework to examine civil-military relations in the context of interstate war, </w:t>
      </w:r>
      <w:proofErr w:type="spellStart"/>
      <w:r w:rsidR="00CF5D10" w:rsidRPr="00B72461">
        <w:t>Feaver</w:t>
      </w:r>
      <w:proofErr w:type="spellEnd"/>
      <w:r w:rsidR="00CF5D10" w:rsidRPr="00B72461">
        <w:t xml:space="preserve"> (2003) </w:t>
      </w:r>
      <w:r>
        <w:t xml:space="preserve">argues that </w:t>
      </w:r>
      <w:r w:rsidRPr="00B72461">
        <w:t>civilians</w:t>
      </w:r>
      <w:r>
        <w:t xml:space="preserve"> (i.e., the principals)</w:t>
      </w:r>
      <w:r w:rsidRPr="00B72461">
        <w:t xml:space="preserve"> </w:t>
      </w:r>
      <w:r>
        <w:t>provide military forces (i.e., the agents)</w:t>
      </w:r>
      <w:r w:rsidRPr="00B72461">
        <w:t xml:space="preserve"> with extraordinary levels of institutional autonomy</w:t>
      </w:r>
      <w:r>
        <w:t xml:space="preserve"> to deal with an external threat.</w:t>
      </w:r>
      <w:r w:rsidRPr="00B72461">
        <w:t xml:space="preserve"> </w:t>
      </w:r>
      <w:r>
        <w:t>The model is equally applicable to countries</w:t>
      </w:r>
      <w:r w:rsidR="00CF5D10" w:rsidRPr="00B72461">
        <w:t xml:space="preserve"> facing</w:t>
      </w:r>
      <w:r>
        <w:t xml:space="preserve"> other</w:t>
      </w:r>
      <w:r w:rsidRPr="00B72461">
        <w:t xml:space="preserve"> signif</w:t>
      </w:r>
      <w:r>
        <w:t xml:space="preserve">icant external security crises </w:t>
      </w:r>
      <w:r w:rsidR="00001FB6">
        <w:t xml:space="preserve">such as </w:t>
      </w:r>
      <w:r>
        <w:t xml:space="preserve">transnational terrorist </w:t>
      </w:r>
      <w:r>
        <w:lastRenderedPageBreak/>
        <w:t xml:space="preserve">attacks. </w:t>
      </w:r>
      <w:r w:rsidR="00CF5D10" w:rsidRPr="00B72461">
        <w:t>Th</w:t>
      </w:r>
      <w:r>
        <w:t>e</w:t>
      </w:r>
      <w:r w:rsidR="00CF5D10" w:rsidRPr="00B72461">
        <w:t xml:space="preserve"> institutional autonomy </w:t>
      </w:r>
      <w:r>
        <w:t xml:space="preserve">afforded to the military in times of crisis </w:t>
      </w:r>
      <w:r w:rsidR="00CF5D10" w:rsidRPr="00B72461">
        <w:t>includes greater delegated decision-making power, greater tolerance of secrecy</w:t>
      </w:r>
      <w:r>
        <w:t>,</w:t>
      </w:r>
      <w:r w:rsidR="00431742">
        <w:t xml:space="preserve"> and less external oversight.</w:t>
      </w:r>
      <w:r w:rsidR="00CF5D10" w:rsidRPr="00B72461">
        <w:t xml:space="preserve"> Under these conditions, militaries are freer to engage in ordinarily controversial practices</w:t>
      </w:r>
      <w:r>
        <w:t xml:space="preserve"> including </w:t>
      </w:r>
      <w:r w:rsidR="00CF5D10" w:rsidRPr="00B72461">
        <w:t xml:space="preserve">harsh interrogation </w:t>
      </w:r>
      <w:r>
        <w:t xml:space="preserve">techniques and </w:t>
      </w:r>
      <w:r w:rsidR="00CF5D10" w:rsidRPr="00B72461">
        <w:t xml:space="preserve">torture. </w:t>
      </w:r>
      <w:r>
        <w:t>Civilians</w:t>
      </w:r>
      <w:r w:rsidR="00CF5D10" w:rsidRPr="00B72461">
        <w:t xml:space="preserve"> are willing to grant this autonomy because militaries offer specialization and opportunity cost advantages to the national effort to preserve security that other actors, such as police forces, cannot </w:t>
      </w:r>
      <w:r w:rsidR="00581323">
        <w:t>provide</w:t>
      </w:r>
      <w:r w:rsidR="00CF5D10" w:rsidRPr="00B72461">
        <w:t xml:space="preserve"> with </w:t>
      </w:r>
      <w:r w:rsidR="00EE6A31" w:rsidRPr="00B72461">
        <w:t xml:space="preserve">comparable </w:t>
      </w:r>
      <w:r w:rsidR="00CF5D10" w:rsidRPr="00B72461">
        <w:t>efficiency.</w:t>
      </w:r>
      <w:r w:rsidR="00131A0B">
        <w:rPr>
          <w:rStyle w:val="FootnoteReference"/>
        </w:rPr>
        <w:footnoteReference w:id="9"/>
      </w:r>
      <w:r w:rsidR="00CF5D10" w:rsidRPr="00B72461">
        <w:t xml:space="preserve"> </w:t>
      </w:r>
    </w:p>
    <w:p w:rsidR="00431742" w:rsidRDefault="006C3358" w:rsidP="002A63F9">
      <w:pPr>
        <w:spacing w:line="480" w:lineRule="auto"/>
        <w:ind w:firstLine="720"/>
        <w:jc w:val="both"/>
      </w:pPr>
      <w:r>
        <w:t xml:space="preserve">At the same time, the military faces potential costs and risks when using torture to gain intelligence and coerce terrorists. In many countries, torture violates national and international law. Military personnel who have tortured have, on occasion, later been punished for their actions. Torture may also backfire. As discussed above, there is evidence that governments </w:t>
      </w:r>
      <w:r w:rsidR="007F28D7">
        <w:t>that</w:t>
      </w:r>
      <w:r>
        <w:t xml:space="preserve"> violate physical integrity rights subsequently experience more terrorist attacks (</w:t>
      </w:r>
      <w:r w:rsidR="00431742">
        <w:t>Walsh and Piazza</w:t>
      </w:r>
      <w:r w:rsidR="000610C8">
        <w:t xml:space="preserve"> </w:t>
      </w:r>
      <w:r>
        <w:t xml:space="preserve">2010). </w:t>
      </w:r>
      <w:r w:rsidR="00431742">
        <w:t xml:space="preserve">Arguments </w:t>
      </w:r>
      <w:r>
        <w:t xml:space="preserve">that torture </w:t>
      </w:r>
      <w:r w:rsidR="00431742">
        <w:t>is</w:t>
      </w:r>
      <w:r>
        <w:t xml:space="preserve"> illegal an</w:t>
      </w:r>
      <w:r w:rsidR="00431742">
        <w:t>d</w:t>
      </w:r>
      <w:r>
        <w:t xml:space="preserve"> ineffective</w:t>
      </w:r>
      <w:r w:rsidR="00431742">
        <w:t xml:space="preserve"> as a counterterrorism strategy </w:t>
      </w:r>
      <w:r>
        <w:t>were pushed by some military and law enforcement personnel who opposed the “enhanced interrogation” program put in place after the September 11, 2011 terrorist attacks</w:t>
      </w:r>
      <w:r w:rsidR="00431742">
        <w:t xml:space="preserve"> (Mayer</w:t>
      </w:r>
      <w:r w:rsidR="000610C8">
        <w:t xml:space="preserve"> 2008)</w:t>
      </w:r>
      <w:r>
        <w:t xml:space="preserve">. </w:t>
      </w:r>
    </w:p>
    <w:p w:rsidR="00CF5D10" w:rsidRPr="00B72461" w:rsidRDefault="006C3358" w:rsidP="00431742">
      <w:pPr>
        <w:spacing w:line="480" w:lineRule="auto"/>
        <w:ind w:firstLine="720"/>
        <w:jc w:val="both"/>
      </w:pPr>
      <w:r>
        <w:t xml:space="preserve">On balance, though, there are good reasons to conclude that pressures to engage in torture will frequently outweigh such considerations. </w:t>
      </w:r>
      <w:r w:rsidR="00431742">
        <w:t>T</w:t>
      </w:r>
      <w:r>
        <w:t xml:space="preserve">orture is a quick and low-cost way for militaries to compensate for a lack of intelligence gathering capabilities aimed at terrorist group; this makes it a tempting solution </w:t>
      </w:r>
      <w:r w:rsidR="00A973AE">
        <w:t>a security</w:t>
      </w:r>
      <w:r>
        <w:t xml:space="preserve"> problem</w:t>
      </w:r>
      <w:r w:rsidR="00A973AE">
        <w:t xml:space="preserve"> like terrorism</w:t>
      </w:r>
      <w:r>
        <w:t xml:space="preserve">. </w:t>
      </w:r>
      <w:r w:rsidR="000610C8">
        <w:t xml:space="preserve">The autonomy of the military in many countries from close civilian oversight has also led military officers in many countries to conclude that they would escape punishment for </w:t>
      </w:r>
      <w:r w:rsidR="000610C8">
        <w:lastRenderedPageBreak/>
        <w:t>violating the law by engaging in torture. While there is strong evidence that indiscriminate physical integrity rights violations are associated with an increase in terrorist attacks, the evidence that torture specifically leads to such a backlash is much less clear</w:t>
      </w:r>
      <w:r w:rsidR="00431742">
        <w:t xml:space="preserve"> (Piazza and Walsh 2010).</w:t>
      </w:r>
      <w:r w:rsidR="000610C8">
        <w:t xml:space="preserve"> </w:t>
      </w:r>
      <w:r w:rsidR="00581323">
        <w:t>This discussion leads to our first hypothesis about</w:t>
      </w:r>
      <w:r w:rsidR="00131A0B">
        <w:t xml:space="preserve"> the relationship between terrorism and torture by military officials</w:t>
      </w:r>
      <w:r w:rsidR="00001FB6">
        <w:t>:</w:t>
      </w:r>
    </w:p>
    <w:p w:rsidR="00001FB6" w:rsidRDefault="00001FB6" w:rsidP="007924CE">
      <w:pPr>
        <w:rPr>
          <w:b/>
          <w:bCs/>
        </w:rPr>
      </w:pPr>
    </w:p>
    <w:p w:rsidR="00626873" w:rsidRPr="00B72461" w:rsidRDefault="00404131" w:rsidP="007924CE">
      <w:r w:rsidRPr="00B72461">
        <w:rPr>
          <w:b/>
          <w:bCs/>
        </w:rPr>
        <w:t>Hypothesis 1:</w:t>
      </w:r>
      <w:r w:rsidRPr="00B72461">
        <w:t xml:space="preserve"> </w:t>
      </w:r>
      <w:r w:rsidR="007924CE" w:rsidRPr="00B72461">
        <w:rPr>
          <w:i/>
          <w:iCs/>
        </w:rPr>
        <w:t>Militar</w:t>
      </w:r>
      <w:r w:rsidR="00131A0B">
        <w:rPr>
          <w:i/>
          <w:iCs/>
        </w:rPr>
        <w:t>y officials</w:t>
      </w:r>
      <w:r w:rsidR="007924CE" w:rsidRPr="00B72461">
        <w:rPr>
          <w:i/>
          <w:iCs/>
        </w:rPr>
        <w:t xml:space="preserve"> </w:t>
      </w:r>
      <w:r w:rsidRPr="00B72461">
        <w:rPr>
          <w:i/>
          <w:iCs/>
        </w:rPr>
        <w:t xml:space="preserve">respond to transnational </w:t>
      </w:r>
      <w:r w:rsidR="00176A3C" w:rsidRPr="00B72461">
        <w:rPr>
          <w:i/>
          <w:iCs/>
        </w:rPr>
        <w:t>terrorism</w:t>
      </w:r>
      <w:r w:rsidR="00C309F2">
        <w:rPr>
          <w:i/>
          <w:iCs/>
        </w:rPr>
        <w:t>, but not domestic terrorism,</w:t>
      </w:r>
      <w:r w:rsidRPr="00B72461">
        <w:rPr>
          <w:i/>
          <w:iCs/>
        </w:rPr>
        <w:t xml:space="preserve"> with increase</w:t>
      </w:r>
      <w:r w:rsidR="00B4343B" w:rsidRPr="00B72461">
        <w:rPr>
          <w:i/>
          <w:iCs/>
        </w:rPr>
        <w:t>d</w:t>
      </w:r>
      <w:r w:rsidRPr="00B72461">
        <w:rPr>
          <w:i/>
          <w:iCs/>
        </w:rPr>
        <w:t xml:space="preserve"> torture.</w:t>
      </w:r>
    </w:p>
    <w:p w:rsidR="00626873" w:rsidRPr="00B72461" w:rsidRDefault="00626873" w:rsidP="00F835B9"/>
    <w:p w:rsidR="002767B7" w:rsidRPr="00B72461" w:rsidRDefault="002767B7" w:rsidP="00A83592">
      <w:pPr>
        <w:rPr>
          <w:i/>
          <w:iCs/>
        </w:rPr>
      </w:pPr>
    </w:p>
    <w:p w:rsidR="002767B7" w:rsidRPr="00B72461" w:rsidRDefault="002767B7">
      <w:pPr>
        <w:ind w:left="720"/>
        <w:rPr>
          <w:i/>
          <w:iCs/>
        </w:rPr>
      </w:pPr>
    </w:p>
    <w:p w:rsidR="002767B7" w:rsidRPr="00B72461" w:rsidRDefault="00D55238">
      <w:pPr>
        <w:spacing w:line="480" w:lineRule="auto"/>
        <w:jc w:val="both"/>
        <w:rPr>
          <w:i/>
        </w:rPr>
      </w:pPr>
      <w:r w:rsidRPr="00D55238">
        <w:rPr>
          <w:i/>
        </w:rPr>
        <w:t>The Mediating Effect of Domestic Political Institutions</w:t>
      </w:r>
    </w:p>
    <w:p w:rsidR="00D53E16" w:rsidRDefault="00D55238">
      <w:pPr>
        <w:spacing w:line="480" w:lineRule="auto"/>
        <w:jc w:val="both"/>
      </w:pPr>
      <w:r w:rsidRPr="00D55238">
        <w:t>To this point, we have assumed that all executives face incentives to prevent terrorist attacks, and that torture is viewed as a potentially effective method for generating intelligence and punish</w:t>
      </w:r>
      <w:r w:rsidR="00131A0B">
        <w:t>ing</w:t>
      </w:r>
      <w:r w:rsidR="00433016" w:rsidRPr="00B72461">
        <w:t xml:space="preserve"> perpetrators. But domestic political institutions also play a role in determining the likelihood that </w:t>
      </w:r>
      <w:r w:rsidR="002E3921" w:rsidRPr="00B72461">
        <w:t xml:space="preserve">the authorities </w:t>
      </w:r>
      <w:r w:rsidR="00433016" w:rsidRPr="00B72461">
        <w:t>respond to the threat of terrorism by violating human rights. Although they are likely to engage in torture when they are threatened (Davenport, Moore, and Armstrong 2007, Conrad and Moore 2010),</w:t>
      </w:r>
      <w:r w:rsidR="00433016" w:rsidRPr="00B72461">
        <w:rPr>
          <w:rStyle w:val="FootnoteReference"/>
        </w:rPr>
        <w:footnoteReference w:id="10"/>
      </w:r>
      <w:r w:rsidR="00433016" w:rsidRPr="00B72461">
        <w:t xml:space="preserve"> democracies are</w:t>
      </w:r>
      <w:r w:rsidR="007924CE" w:rsidRPr="00B72461">
        <w:t xml:space="preserve"> otherwise</w:t>
      </w:r>
      <w:r w:rsidR="00433016" w:rsidRPr="00B72461">
        <w:t xml:space="preserve"> less likely to commit gross human rights violations than their dictatorial counterparts (Poe, Tate, and Keith 1999</w:t>
      </w:r>
      <w:r w:rsidR="00131A0B">
        <w:t>,</w:t>
      </w:r>
      <w:r w:rsidR="00433016" w:rsidRPr="00B72461">
        <w:t xml:space="preserve"> Davenport 2007).  These constraints affect both whether and how democratic leaders respond to terrorism with</w:t>
      </w:r>
      <w:r w:rsidR="002E3921" w:rsidRPr="00B72461">
        <w:t xml:space="preserve"> torture</w:t>
      </w:r>
      <w:r w:rsidR="00433016" w:rsidRPr="00B72461">
        <w:t xml:space="preserve">.   </w:t>
      </w:r>
    </w:p>
    <w:p w:rsidR="00433016" w:rsidRPr="00B72461" w:rsidRDefault="002E3921" w:rsidP="00433016">
      <w:pPr>
        <w:spacing w:line="480" w:lineRule="auto"/>
        <w:ind w:firstLine="720"/>
        <w:jc w:val="both"/>
      </w:pPr>
      <w:r w:rsidRPr="00B72461">
        <w:t>T</w:t>
      </w:r>
      <w:r w:rsidR="00433016" w:rsidRPr="00B72461">
        <w:t>orture is illegal in most countries according to domestic and international statute (Keith 2002)</w:t>
      </w:r>
      <w:r w:rsidRPr="00B72461">
        <w:t>.</w:t>
      </w:r>
      <w:r w:rsidR="00D55238" w:rsidRPr="00D55238">
        <w:t xml:space="preserve"> But polities vary in the extent to which they punish leaders who break such laws. In democracies, institutions like contested elections (</w:t>
      </w:r>
      <w:proofErr w:type="spellStart"/>
      <w:r w:rsidR="00D55238" w:rsidRPr="00D55238">
        <w:t>Cingranelli</w:t>
      </w:r>
      <w:proofErr w:type="spellEnd"/>
      <w:r w:rsidR="00D55238" w:rsidRPr="00D55238">
        <w:t xml:space="preserve"> and </w:t>
      </w:r>
      <w:proofErr w:type="spellStart"/>
      <w:r w:rsidR="00D55238" w:rsidRPr="00D55238">
        <w:t>Filippov</w:t>
      </w:r>
      <w:proofErr w:type="spellEnd"/>
      <w:r w:rsidR="00D55238" w:rsidRPr="00D55238">
        <w:t xml:space="preserve"> 2010), effective judicial institutions (Powell and </w:t>
      </w:r>
      <w:proofErr w:type="spellStart"/>
      <w:r w:rsidR="00D55238" w:rsidRPr="00D55238">
        <w:t>Staton</w:t>
      </w:r>
      <w:proofErr w:type="spellEnd"/>
      <w:r w:rsidR="00D55238" w:rsidRPr="00D55238">
        <w:t xml:space="preserve"> 2009) and impartial media </w:t>
      </w:r>
      <w:r w:rsidR="00D55238" w:rsidRPr="00D55238">
        <w:lastRenderedPageBreak/>
        <w:t>observers (Whitten-</w:t>
      </w:r>
      <w:proofErr w:type="spellStart"/>
      <w:r w:rsidR="00D55238" w:rsidRPr="00D55238">
        <w:t>Woodring</w:t>
      </w:r>
      <w:proofErr w:type="spellEnd"/>
      <w:r w:rsidR="00D55238" w:rsidRPr="00D55238">
        <w:t xml:space="preserve"> 2009) increase the likelihood that allegations of state torture surface and are punished. Further, elected leaders in democracies are more vulnerable to changes in public opinion</w:t>
      </w:r>
      <w:r w:rsidR="00C309F2">
        <w:t xml:space="preserve"> than their dictatorial counterparts</w:t>
      </w:r>
      <w:r w:rsidR="00433016" w:rsidRPr="00B72461">
        <w:t>, and the use of torture in counterterrorism policy is often</w:t>
      </w:r>
      <w:r w:rsidR="00C75DE0">
        <w:t xml:space="preserve"> controversial (e.g., </w:t>
      </w:r>
      <w:proofErr w:type="spellStart"/>
      <w:r w:rsidR="00C75DE0">
        <w:t>Gronke</w:t>
      </w:r>
      <w:proofErr w:type="spellEnd"/>
      <w:r w:rsidR="00C75DE0">
        <w:t xml:space="preserve"> et</w:t>
      </w:r>
      <w:r w:rsidR="00433016" w:rsidRPr="00B72461">
        <w:t xml:space="preserve"> al. 2010).</w:t>
      </w:r>
    </w:p>
    <w:p w:rsidR="00433016" w:rsidRPr="00B72461" w:rsidRDefault="00433016" w:rsidP="00433016">
      <w:pPr>
        <w:spacing w:line="480" w:lineRule="auto"/>
        <w:ind w:firstLine="720"/>
        <w:jc w:val="both"/>
      </w:pPr>
      <w:r w:rsidRPr="00B72461">
        <w:t xml:space="preserve"> </w:t>
      </w:r>
      <w:r w:rsidR="00F655CB" w:rsidRPr="00B72461">
        <w:t xml:space="preserve"> More </w:t>
      </w:r>
      <w:r w:rsidRPr="00B72461">
        <w:t xml:space="preserve">transparent political institutions mean that allegations of torture are more likely to </w:t>
      </w:r>
      <w:r w:rsidR="00F655CB" w:rsidRPr="00B72461">
        <w:t xml:space="preserve">surface </w:t>
      </w:r>
      <w:r w:rsidRPr="00B72461">
        <w:t>and lead to the punishment of government officials in democracies than dictatorships.</w:t>
      </w:r>
      <w:r w:rsidR="00C309F2">
        <w:t xml:space="preserve"> </w:t>
      </w:r>
      <w:r w:rsidRPr="00B72461">
        <w:t>Because torture is a potentially useful government policy, however, democracies have not abandoned it completely. In response to public opinion and in order to maintain plausible deniability, democracies have innovated new techniques</w:t>
      </w:r>
      <w:r w:rsidR="00EE6A31" w:rsidRPr="00B72461">
        <w:t xml:space="preserve"> </w:t>
      </w:r>
      <w:r w:rsidR="00C309F2">
        <w:t>that</w:t>
      </w:r>
      <w:r w:rsidR="00EE6A31" w:rsidRPr="00B72461">
        <w:t xml:space="preserve"> are</w:t>
      </w:r>
      <w:r w:rsidRPr="00B72461">
        <w:t xml:space="preserve"> intended to cause pain but avoid leaving visible marks on the body of the victim (Ron 1997</w:t>
      </w:r>
      <w:r w:rsidR="00C309F2">
        <w:t>,</w:t>
      </w:r>
      <w:r w:rsidRPr="00B72461">
        <w:t xml:space="preserve"> Evans and Morgan 1998</w:t>
      </w:r>
      <w:r w:rsidR="00C309F2">
        <w:t>,</w:t>
      </w:r>
      <w:r w:rsidRPr="00B72461">
        <w:t xml:space="preserve"> </w:t>
      </w:r>
      <w:proofErr w:type="spellStart"/>
      <w:r w:rsidRPr="00B72461">
        <w:t>Einolf</w:t>
      </w:r>
      <w:proofErr w:type="spellEnd"/>
      <w:r w:rsidRPr="00B72461">
        <w:t xml:space="preserve"> 2007, </w:t>
      </w:r>
      <w:proofErr w:type="spellStart"/>
      <w:r w:rsidRPr="00B72461">
        <w:t>Rejali</w:t>
      </w:r>
      <w:proofErr w:type="spellEnd"/>
      <w:r w:rsidRPr="00B72461">
        <w:t xml:space="preserve"> 2007). Thus, although democracies are willing to violate human rights</w:t>
      </w:r>
      <w:r w:rsidR="00C309F2">
        <w:t xml:space="preserve"> when they are faced with a threat</w:t>
      </w:r>
      <w:r w:rsidRPr="00B72461">
        <w:t>, democratic leaders regard torture as a risky tactic and implement it more cautiously and selectively than their dictatorial counterparts.</w:t>
      </w:r>
    </w:p>
    <w:p w:rsidR="00433016" w:rsidRPr="00B72461" w:rsidRDefault="00433016" w:rsidP="00433016">
      <w:pPr>
        <w:spacing w:line="480" w:lineRule="auto"/>
        <w:ind w:firstLine="720"/>
        <w:jc w:val="both"/>
      </w:pPr>
      <w:r w:rsidRPr="00B72461">
        <w:t xml:space="preserve">As a result of their desire to use torture judiciously, democratic regimes are most likely to employ torture as part of their counterterrorism strategy when a threat is foreign or external in nature and is perceived as such by the public. This is the case for several reasons. First, there is evidence in the larger conflict literature that external </w:t>
      </w:r>
      <w:proofErr w:type="gramStart"/>
      <w:r w:rsidRPr="00B72461">
        <w:t>threats</w:t>
      </w:r>
      <w:proofErr w:type="gramEnd"/>
      <w:r w:rsidRPr="00B72461">
        <w:t>, specifically international war or the threat of military subversion by external enemies, prompt domestic repression (</w:t>
      </w:r>
      <w:proofErr w:type="spellStart"/>
      <w:r w:rsidRPr="00B72461">
        <w:t>Enterline</w:t>
      </w:r>
      <w:proofErr w:type="spellEnd"/>
      <w:r w:rsidRPr="00B72461">
        <w:t xml:space="preserve"> and </w:t>
      </w:r>
      <w:proofErr w:type="spellStart"/>
      <w:r w:rsidRPr="00B72461">
        <w:t>Gleditsch</w:t>
      </w:r>
      <w:proofErr w:type="spellEnd"/>
      <w:r w:rsidRPr="00B72461">
        <w:t xml:space="preserve"> 2000, Poe and Tate 1994, Davenport, Moore and Armstrong 2007). This effect is particularly profound in democracies and states with liberal traditions (</w:t>
      </w:r>
      <w:proofErr w:type="spellStart"/>
      <w:r w:rsidRPr="00B72461">
        <w:t>Stohl</w:t>
      </w:r>
      <w:proofErr w:type="spellEnd"/>
      <w:r w:rsidRPr="00B72461">
        <w:t xml:space="preserve"> 1976, Gibson 1988) because the presence of an external threat provides justification for domestic repression and alteration </w:t>
      </w:r>
      <w:r w:rsidRPr="00B72461">
        <w:lastRenderedPageBreak/>
        <w:t xml:space="preserve">of human rights standards at home. External threats due to </w:t>
      </w:r>
      <w:r w:rsidR="00D16870" w:rsidRPr="00B72461">
        <w:t xml:space="preserve">transnational </w:t>
      </w:r>
      <w:r w:rsidRPr="00B72461">
        <w:t xml:space="preserve">terrorism are also linked to the decline of human rights protections in developing world democracies like India, South Africa, and the Philippines (Whitaker 2007).  </w:t>
      </w:r>
    </w:p>
    <w:p w:rsidR="006B077A" w:rsidRDefault="00433016" w:rsidP="00DE2F67">
      <w:pPr>
        <w:spacing w:line="480" w:lineRule="auto"/>
        <w:ind w:firstLine="720"/>
        <w:jc w:val="both"/>
      </w:pPr>
      <w:r w:rsidRPr="00B72461">
        <w:t>Second, citizens of democracies may be more likely to approve of</w:t>
      </w:r>
      <w:r w:rsidR="00336523" w:rsidRPr="00B72461">
        <w:t xml:space="preserve"> </w:t>
      </w:r>
      <w:r w:rsidR="00890C27" w:rsidRPr="00B72461">
        <w:t>torturing foreigners</w:t>
      </w:r>
      <w:r w:rsidR="00C309F2">
        <w:t xml:space="preserve"> than of torturing citizens of their own state.</w:t>
      </w:r>
      <w:r w:rsidRPr="00B72461">
        <w:t xml:space="preserve"> Experimental research in social psychology, criminology and sociobiology indicates that individuals exhibit less empathy towards persons of different racial, ethnic and cultural backgrounds (</w:t>
      </w:r>
      <w:proofErr w:type="spellStart"/>
      <w:r w:rsidRPr="00B72461">
        <w:t>Avenanti</w:t>
      </w:r>
      <w:proofErr w:type="spellEnd"/>
      <w:r w:rsidRPr="00B72461">
        <w:t xml:space="preserve">, </w:t>
      </w:r>
      <w:proofErr w:type="spellStart"/>
      <w:r w:rsidRPr="00B72461">
        <w:t>Sirigu</w:t>
      </w:r>
      <w:proofErr w:type="spellEnd"/>
      <w:r w:rsidRPr="00B72461">
        <w:t xml:space="preserve"> and </w:t>
      </w:r>
      <w:proofErr w:type="spellStart"/>
      <w:r w:rsidRPr="00B72461">
        <w:t>Aglioti</w:t>
      </w:r>
      <w:proofErr w:type="spellEnd"/>
      <w:r w:rsidRPr="00B72461">
        <w:t xml:space="preserve"> 2010).  These studies demonstrate that subjects empathize less with the response to physical pain or the experience of physical or mental stress by victims perceived to be of a different race or ethnicity, and juries are more likely to find guilty and impose harsh sentences on racially and ethnically different defendants.</w:t>
      </w:r>
      <w:r w:rsidR="00DE2F67" w:rsidRPr="00B72461">
        <w:rPr>
          <w:rStyle w:val="FootnoteReference"/>
        </w:rPr>
        <w:footnoteReference w:id="11"/>
      </w:r>
      <w:r w:rsidRPr="00B72461">
        <w:t xml:space="preserve"> </w:t>
      </w:r>
      <w:r w:rsidR="006107C1">
        <w:t xml:space="preserve">More directly, scholarship in </w:t>
      </w:r>
      <w:r w:rsidR="00E779BB">
        <w:t>s</w:t>
      </w:r>
      <w:r w:rsidR="006107C1">
        <w:t xml:space="preserve">ociology and </w:t>
      </w:r>
      <w:r w:rsidR="00E779BB">
        <w:t>s</w:t>
      </w:r>
      <w:r w:rsidR="006107C1">
        <w:t xml:space="preserve">ocial </w:t>
      </w:r>
      <w:r w:rsidR="00E779BB">
        <w:t>p</w:t>
      </w:r>
      <w:r w:rsidR="006107C1">
        <w:t xml:space="preserve">sychology has demonstrated that periods of perceived threat are accompanied by a greater public intolerance of </w:t>
      </w:r>
      <w:r w:rsidR="00C75DE0">
        <w:t xml:space="preserve">culturally </w:t>
      </w:r>
      <w:r w:rsidR="006107C1">
        <w:t>different “</w:t>
      </w:r>
      <w:proofErr w:type="spellStart"/>
      <w:r w:rsidR="006107C1">
        <w:t>outgroups</w:t>
      </w:r>
      <w:proofErr w:type="spellEnd"/>
      <w:r w:rsidR="006107C1">
        <w:t xml:space="preserve">” including immigrant </w:t>
      </w:r>
      <w:r w:rsidR="00224FEF">
        <w:t>and for</w:t>
      </w:r>
      <w:r w:rsidR="00C75DE0">
        <w:t>eign populations (Stephan et al. 2000,</w:t>
      </w:r>
      <w:r w:rsidR="00224FEF">
        <w:t xml:space="preserve"> 1999</w:t>
      </w:r>
      <w:r w:rsidR="00C75DE0">
        <w:t>,</w:t>
      </w:r>
      <w:r w:rsidR="00B606D1">
        <w:t xml:space="preserve"> 1996</w:t>
      </w:r>
      <w:r w:rsidR="00224FEF">
        <w:t>), a phenomenon captured by polling data in the United States after the 9/11 attacks (Oswald 2005)</w:t>
      </w:r>
      <w:r w:rsidR="00874327">
        <w:t>.</w:t>
      </w:r>
      <w:r w:rsidR="006107C1">
        <w:t xml:space="preserve"> </w:t>
      </w:r>
      <w:r w:rsidRPr="00B72461">
        <w:t xml:space="preserve">The implication of these studies for our purposes is that democratic publics are less likely to object, and thereby less likely to pressure their governments to refrain from, the physical abuse of detained </w:t>
      </w:r>
      <w:r w:rsidR="00890C27" w:rsidRPr="00B72461">
        <w:t xml:space="preserve">transnational </w:t>
      </w:r>
      <w:r w:rsidRPr="00B72461">
        <w:t>terrorism suspects than of other dissidents.</w:t>
      </w:r>
      <w:r w:rsidRPr="00B72461">
        <w:rPr>
          <w:rStyle w:val="FootnoteReference"/>
        </w:rPr>
        <w:footnoteReference w:id="12"/>
      </w:r>
      <w:r w:rsidR="007924CE" w:rsidRPr="00B72461">
        <w:t xml:space="preserve"> </w:t>
      </w:r>
    </w:p>
    <w:p w:rsidR="00433016" w:rsidRPr="00B72461" w:rsidRDefault="007924CE" w:rsidP="00DE2F67">
      <w:pPr>
        <w:spacing w:line="480" w:lineRule="auto"/>
        <w:ind w:firstLine="720"/>
        <w:jc w:val="both"/>
      </w:pPr>
      <w:r w:rsidRPr="00B72461">
        <w:t>Popular willingness to u</w:t>
      </w:r>
      <w:r w:rsidR="00C309F2">
        <w:t>s</w:t>
      </w:r>
      <w:r w:rsidRPr="00B72461">
        <w:t xml:space="preserve">e force against foreigners appears to be a universal human attribute. But its effects are, ceteris paribus, felt more strongly in democratic </w:t>
      </w:r>
      <w:r w:rsidRPr="00B72461">
        <w:lastRenderedPageBreak/>
        <w:t xml:space="preserve">polities where elected leaders have stronger incentives to respond quickly to </w:t>
      </w:r>
      <w:r w:rsidR="00153228" w:rsidRPr="00B72461">
        <w:t xml:space="preserve">voters’ preferences. </w:t>
      </w:r>
      <w:r w:rsidR="00EE6A31" w:rsidRPr="00B72461">
        <w:t>Institutions that generate accountability in liberal democracies typically</w:t>
      </w:r>
      <w:r w:rsidR="00153228" w:rsidRPr="00B72461">
        <w:t xml:space="preserve"> constrain the ability of the government to engage in human rights abuses. But as discussed above, these constraints weaken when the threat originates from overseas, since the public </w:t>
      </w:r>
      <w:r w:rsidR="006B077A">
        <w:t>is willing to delegate</w:t>
      </w:r>
      <w:r w:rsidR="00153228" w:rsidRPr="00B72461">
        <w:t xml:space="preserve"> more authority to the military in such situations.  </w:t>
      </w:r>
    </w:p>
    <w:p w:rsidR="002767B7" w:rsidRPr="00B72461" w:rsidRDefault="00433016">
      <w:pPr>
        <w:spacing w:line="480" w:lineRule="auto"/>
        <w:ind w:firstLine="720"/>
        <w:jc w:val="both"/>
      </w:pPr>
      <w:r w:rsidRPr="00B72461">
        <w:t xml:space="preserve">Finally, </w:t>
      </w:r>
      <w:r w:rsidR="00C309F2">
        <w:t xml:space="preserve">although </w:t>
      </w:r>
      <w:r w:rsidRPr="00B72461">
        <w:t>military forces typically have less responsibility for countering domestic threats than other agencies of the state, domestic conflict requiring military intervention is more common in dictatorships than democracies. For example, between 1945 and 2002,</w:t>
      </w:r>
      <w:r w:rsidRPr="00B72461">
        <w:rPr>
          <w:lang w:eastAsia="ko-KR"/>
        </w:rPr>
        <w:t xml:space="preserve"> over 300 autocratic leaders were removed from office by non</w:t>
      </w:r>
      <w:r w:rsidR="00153228" w:rsidRPr="00B72461">
        <w:rPr>
          <w:lang w:eastAsia="ko-KR"/>
        </w:rPr>
        <w:t>-</w:t>
      </w:r>
      <w:r w:rsidRPr="00B72461">
        <w:rPr>
          <w:lang w:eastAsia="ko-KR"/>
        </w:rPr>
        <w:t>constitutional means (</w:t>
      </w:r>
      <w:proofErr w:type="spellStart"/>
      <w:r w:rsidRPr="00B72461">
        <w:t>Svolik</w:t>
      </w:r>
      <w:proofErr w:type="spellEnd"/>
      <w:r w:rsidRPr="00B72461">
        <w:t xml:space="preserve"> 2009)</w:t>
      </w:r>
      <w:r w:rsidRPr="00B72461">
        <w:rPr>
          <w:lang w:eastAsia="ko-KR"/>
        </w:rPr>
        <w:t>, suggesting that the militaries in such countries frequently involve themselves in domestic issues. L</w:t>
      </w:r>
      <w:r w:rsidRPr="00B72461">
        <w:t>arge-scale civil war is also more likely in non-democracies than democracies (</w:t>
      </w:r>
      <w:proofErr w:type="spellStart"/>
      <w:r w:rsidRPr="00B72461">
        <w:t>Krain</w:t>
      </w:r>
      <w:proofErr w:type="spellEnd"/>
      <w:r w:rsidRPr="00B72461">
        <w:t xml:space="preserve"> and Myers 1997), and although civil wars are a form of internal conflict, they represent perhaps the most serious challenge to state authority. Even military organizations primarily oriented toward external threats will likely be drawn into such conflicts. Democratic militaries, on the other hand, are more likely to be focused on outside threats </w:t>
      </w:r>
      <w:r w:rsidR="00AF108B" w:rsidRPr="00B72461">
        <w:t xml:space="preserve">rather </w:t>
      </w:r>
      <w:r w:rsidRPr="00B72461">
        <w:t>than on internal dissent</w:t>
      </w:r>
      <w:r w:rsidR="004C4355" w:rsidRPr="00B72461">
        <w:t xml:space="preserve">. </w:t>
      </w:r>
      <w:r w:rsidRPr="00B72461">
        <w:t xml:space="preserve"> </w:t>
      </w:r>
      <w:r w:rsidR="004C4355" w:rsidRPr="00B72461">
        <w:t>A</w:t>
      </w:r>
      <w:r w:rsidRPr="00B72461">
        <w:t xml:space="preserve">s a result, militaries in democracies are more likely to </w:t>
      </w:r>
      <w:r w:rsidR="00D55238" w:rsidRPr="00D55238">
        <w:rPr>
          <w:i/>
        </w:rPr>
        <w:t>increase</w:t>
      </w:r>
      <w:r w:rsidRPr="00B72461">
        <w:t xml:space="preserve"> their use of torture in response to transnational terrorism than their dictatorial counterparts. </w:t>
      </w:r>
    </w:p>
    <w:p w:rsidR="00C309F2" w:rsidRPr="00B72461" w:rsidDel="0080662E" w:rsidRDefault="008C711E" w:rsidP="00C309F2">
      <w:r w:rsidRPr="00B72461">
        <w:rPr>
          <w:b/>
          <w:bCs/>
        </w:rPr>
        <w:t xml:space="preserve">Hypothesis </w:t>
      </w:r>
      <w:r w:rsidR="007924CE" w:rsidRPr="00B72461">
        <w:rPr>
          <w:b/>
          <w:bCs/>
        </w:rPr>
        <w:t>2</w:t>
      </w:r>
      <w:r w:rsidRPr="00B72461">
        <w:rPr>
          <w:b/>
          <w:bCs/>
        </w:rPr>
        <w:t>:</w:t>
      </w:r>
      <w:r w:rsidRPr="00B72461">
        <w:t xml:space="preserve"> </w:t>
      </w:r>
      <w:r w:rsidR="00C309F2">
        <w:rPr>
          <w:i/>
          <w:iCs/>
        </w:rPr>
        <w:t>Military officials</w:t>
      </w:r>
      <w:r w:rsidR="00C309F2" w:rsidRPr="00B72461">
        <w:rPr>
          <w:i/>
          <w:iCs/>
        </w:rPr>
        <w:t xml:space="preserve"> </w:t>
      </w:r>
      <w:r w:rsidRPr="00B72461">
        <w:rPr>
          <w:i/>
          <w:iCs/>
        </w:rPr>
        <w:t>are more likely to respond to transnational terrorism</w:t>
      </w:r>
      <w:r w:rsidR="00C309F2">
        <w:rPr>
          <w:i/>
          <w:iCs/>
        </w:rPr>
        <w:t>, not domestic terrorism,</w:t>
      </w:r>
      <w:r w:rsidRPr="00B72461">
        <w:rPr>
          <w:i/>
          <w:iCs/>
        </w:rPr>
        <w:t xml:space="preserve"> with increased torture as</w:t>
      </w:r>
      <w:r w:rsidR="006B077A">
        <w:rPr>
          <w:i/>
          <w:iCs/>
        </w:rPr>
        <w:t xml:space="preserve"> the</w:t>
      </w:r>
      <w:r w:rsidR="00626EC7" w:rsidRPr="00B72461">
        <w:rPr>
          <w:i/>
          <w:iCs/>
        </w:rPr>
        <w:t xml:space="preserve"> level of</w:t>
      </w:r>
      <w:r w:rsidRPr="00B72461">
        <w:rPr>
          <w:i/>
          <w:iCs/>
        </w:rPr>
        <w:t xml:space="preserve"> democracy increases.</w:t>
      </w:r>
    </w:p>
    <w:p w:rsidR="00D53E16" w:rsidRDefault="00D53E16"/>
    <w:p w:rsidR="007924CE" w:rsidRPr="00B72461" w:rsidRDefault="007924CE" w:rsidP="003A1DB2">
      <w:pPr>
        <w:spacing w:line="480" w:lineRule="auto"/>
      </w:pPr>
    </w:p>
    <w:p w:rsidR="00626873" w:rsidRPr="00B72461" w:rsidRDefault="00D55238" w:rsidP="005E7536">
      <w:pPr>
        <w:spacing w:line="480" w:lineRule="auto"/>
        <w:rPr>
          <w:b/>
          <w:bCs/>
        </w:rPr>
      </w:pPr>
      <w:r w:rsidRPr="00D55238">
        <w:rPr>
          <w:b/>
          <w:bCs/>
        </w:rPr>
        <w:t>Data and Estimation Strategy</w:t>
      </w:r>
    </w:p>
    <w:p w:rsidR="00D53E16" w:rsidRDefault="00D55238">
      <w:pPr>
        <w:widowControl w:val="0"/>
        <w:autoSpaceDE w:val="0"/>
        <w:autoSpaceDN w:val="0"/>
        <w:adjustRightInd w:val="0"/>
        <w:spacing w:line="480" w:lineRule="auto"/>
        <w:jc w:val="both"/>
        <w:rPr>
          <w:szCs w:val="22"/>
        </w:rPr>
      </w:pPr>
      <w:r w:rsidRPr="00D55238">
        <w:t xml:space="preserve">To test our hypotheses about the conditions under which </w:t>
      </w:r>
      <w:r w:rsidR="00C75DE0">
        <w:t>terrorist attacks lead</w:t>
      </w:r>
      <w:r w:rsidRPr="00D55238">
        <w:t xml:space="preserve"> to increased human rights violations</w:t>
      </w:r>
      <w:r w:rsidR="007D5BF4">
        <w:t xml:space="preserve"> by the military</w:t>
      </w:r>
      <w:r w:rsidRPr="00D55238">
        <w:t xml:space="preserve">, </w:t>
      </w:r>
      <w:r w:rsidRPr="00D55238">
        <w:rPr>
          <w:szCs w:val="22"/>
        </w:rPr>
        <w:t xml:space="preserve">we estimate the level of military torture </w:t>
      </w:r>
      <w:r w:rsidRPr="00D55238">
        <w:rPr>
          <w:szCs w:val="22"/>
        </w:rPr>
        <w:lastRenderedPageBreak/>
        <w:t>as a function of transnational and domestic terrorist attacks using time-series cross-sectional data on 135 countries from 1995 to 2005. The unit of analysis i</w:t>
      </w:r>
      <w:r w:rsidR="00C75DE0">
        <w:rPr>
          <w:szCs w:val="22"/>
        </w:rPr>
        <w:t>n each of our estimations i</w:t>
      </w:r>
      <w:r w:rsidRPr="00D55238">
        <w:rPr>
          <w:szCs w:val="22"/>
        </w:rPr>
        <w:t>s the country-year.</w:t>
      </w:r>
      <w:r w:rsidR="0003241C">
        <w:rPr>
          <w:rStyle w:val="FootnoteReference"/>
          <w:szCs w:val="22"/>
        </w:rPr>
        <w:footnoteReference w:id="13"/>
      </w:r>
    </w:p>
    <w:p w:rsidR="00923764" w:rsidRDefault="00894DCE">
      <w:pPr>
        <w:widowControl w:val="0"/>
        <w:autoSpaceDE w:val="0"/>
        <w:autoSpaceDN w:val="0"/>
        <w:adjustRightInd w:val="0"/>
        <w:spacing w:line="480" w:lineRule="auto"/>
        <w:jc w:val="both"/>
      </w:pPr>
      <w:r>
        <w:rPr>
          <w:i/>
          <w:szCs w:val="22"/>
        </w:rPr>
        <w:tab/>
      </w:r>
      <w:r w:rsidR="004C4355" w:rsidRPr="00B72461">
        <w:t>T</w:t>
      </w:r>
      <w:r w:rsidR="00D55238" w:rsidRPr="00D55238">
        <w:t xml:space="preserve">he majority of cross-national, quantitative research on state torture relies on country-year data from Hathaway (2002) or </w:t>
      </w:r>
      <w:proofErr w:type="spellStart"/>
      <w:r w:rsidR="00923764">
        <w:t>Cingranelli</w:t>
      </w:r>
      <w:proofErr w:type="spellEnd"/>
      <w:r w:rsidR="00923764">
        <w:t xml:space="preserve"> and Richards (2004); these data report information on allegations of torture across all agencies within a given state over the course of a calendar year.</w:t>
      </w:r>
      <w:r w:rsidR="00D55238" w:rsidRPr="00D55238">
        <w:t xml:space="preserve"> </w:t>
      </w:r>
      <w:r w:rsidR="00625FF9">
        <w:t>In order to draw inferences about military torture, specifically, rather than government torture, more generally, w</w:t>
      </w:r>
      <w:r w:rsidR="00784A51" w:rsidRPr="00B72461">
        <w:t xml:space="preserve">e require </w:t>
      </w:r>
      <w:r w:rsidR="000A6902" w:rsidRPr="00B72461">
        <w:t>disaggregated</w:t>
      </w:r>
      <w:r w:rsidR="00626873" w:rsidRPr="00B72461">
        <w:t xml:space="preserve"> </w:t>
      </w:r>
      <w:r w:rsidR="000A6902" w:rsidRPr="00B72461">
        <w:t>data</w:t>
      </w:r>
      <w:r w:rsidR="00784A51" w:rsidRPr="00B72461">
        <w:t xml:space="preserve"> </w:t>
      </w:r>
      <w:r w:rsidR="00625FF9">
        <w:t>that indicates the domestic agency responsible for the abuse</w:t>
      </w:r>
      <w:r w:rsidR="00626873" w:rsidRPr="00B72461">
        <w:t xml:space="preserve">. </w:t>
      </w:r>
      <w:r w:rsidR="00784A51" w:rsidRPr="00B72461">
        <w:t>O</w:t>
      </w:r>
      <w:r w:rsidR="000A6902" w:rsidRPr="00B72461">
        <w:t xml:space="preserve">ur primary dependent variable, </w:t>
      </w:r>
      <w:r w:rsidR="000A6902" w:rsidRPr="00B72461">
        <w:rPr>
          <w:i/>
        </w:rPr>
        <w:t xml:space="preserve">Military </w:t>
      </w:r>
      <w:r w:rsidR="006E6134">
        <w:rPr>
          <w:i/>
        </w:rPr>
        <w:t xml:space="preserve">(ITT) </w:t>
      </w:r>
      <w:r w:rsidR="000A6902" w:rsidRPr="00B72461">
        <w:rPr>
          <w:i/>
        </w:rPr>
        <w:t>Torture</w:t>
      </w:r>
      <w:r w:rsidR="000A6902" w:rsidRPr="00B72461">
        <w:t xml:space="preserve">, </w:t>
      </w:r>
      <w:r w:rsidR="00626873" w:rsidRPr="00B72461">
        <w:t>come</w:t>
      </w:r>
      <w:r w:rsidR="00625FF9">
        <w:t>s</w:t>
      </w:r>
      <w:r w:rsidR="00626873" w:rsidRPr="00B72461">
        <w:t xml:space="preserve"> from the Ill-Treatment and Torture (ITT) Data Collection Project (Conrad and Moore 2011a).</w:t>
      </w:r>
      <w:r w:rsidR="009A1C76" w:rsidRPr="00B72461">
        <w:rPr>
          <w:rStyle w:val="FootnoteReference"/>
        </w:rPr>
        <w:footnoteReference w:id="14"/>
      </w:r>
      <w:r w:rsidR="00626873" w:rsidRPr="00B72461">
        <w:t xml:space="preserve"> Based on content analysis of Amnesty International (AI) </w:t>
      </w:r>
      <w:r w:rsidR="0021613A" w:rsidRPr="00B72461">
        <w:t>torture allegations</w:t>
      </w:r>
      <w:r w:rsidR="00626873" w:rsidRPr="00B72461">
        <w:t>,</w:t>
      </w:r>
      <w:r w:rsidR="00626873" w:rsidRPr="00B72461">
        <w:rPr>
          <w:rStyle w:val="FootnoteReference"/>
        </w:rPr>
        <w:footnoteReference w:id="15"/>
      </w:r>
      <w:r w:rsidR="00626873" w:rsidRPr="00B72461">
        <w:t xml:space="preserve"> the ITT </w:t>
      </w:r>
      <w:r w:rsidR="0036636E" w:rsidRPr="00B72461">
        <w:t>Country-Year</w:t>
      </w:r>
      <w:r w:rsidR="00E20B69" w:rsidRPr="00B72461">
        <w:t xml:space="preserve"> Agency of Control (</w:t>
      </w:r>
      <w:proofErr w:type="spellStart"/>
      <w:r w:rsidR="00E20B69" w:rsidRPr="00B72461">
        <w:t>CYAoC</w:t>
      </w:r>
      <w:proofErr w:type="spellEnd"/>
      <w:r w:rsidR="00E20B69" w:rsidRPr="00B72461">
        <w:t>)</w:t>
      </w:r>
      <w:r w:rsidR="0036636E" w:rsidRPr="00B72461">
        <w:rPr>
          <w:szCs w:val="22"/>
        </w:rPr>
        <w:t xml:space="preserve"> </w:t>
      </w:r>
      <w:r w:rsidR="00626873" w:rsidRPr="00B72461">
        <w:t>database</w:t>
      </w:r>
      <w:r w:rsidR="000A6902" w:rsidRPr="00B72461">
        <w:t xml:space="preserve"> </w:t>
      </w:r>
      <w:r w:rsidR="00625FF9" w:rsidRPr="00B72461">
        <w:t>disaggregates country-year allegations of torture, allowing us to determine the specific state agency responsible for violations of human rights.</w:t>
      </w:r>
      <w:r w:rsidR="002C0A85">
        <w:rPr>
          <w:rStyle w:val="FootnoteReference"/>
        </w:rPr>
        <w:footnoteReference w:id="16"/>
      </w:r>
      <w:r w:rsidR="00625FF9">
        <w:t xml:space="preserve"> </w:t>
      </w:r>
      <w:r w:rsidR="00625FF9" w:rsidRPr="00B72461">
        <w:t xml:space="preserve">The </w:t>
      </w:r>
      <w:proofErr w:type="spellStart"/>
      <w:r w:rsidR="00625FF9" w:rsidRPr="00B72461">
        <w:t>CYAoC</w:t>
      </w:r>
      <w:proofErr w:type="spellEnd"/>
      <w:r w:rsidR="00625FF9" w:rsidRPr="00B72461">
        <w:t xml:space="preserve"> data </w:t>
      </w:r>
      <w:r w:rsidR="000A6902" w:rsidRPr="00B72461">
        <w:t xml:space="preserve">disaggregates </w:t>
      </w:r>
      <w:r w:rsidR="00BD5F9B" w:rsidRPr="00B72461">
        <w:t xml:space="preserve">allegations of </w:t>
      </w:r>
      <w:r w:rsidR="00626873" w:rsidRPr="00B72461">
        <w:t>torture</w:t>
      </w:r>
      <w:r w:rsidR="000A6902" w:rsidRPr="00B72461">
        <w:t xml:space="preserve"> incidence</w:t>
      </w:r>
      <w:r w:rsidR="00626873" w:rsidRPr="00B72461">
        <w:t xml:space="preserve"> into that perpetrated by </w:t>
      </w:r>
      <w:r w:rsidR="0036636E" w:rsidRPr="00B72461">
        <w:t xml:space="preserve">six </w:t>
      </w:r>
      <w:r w:rsidR="00626873" w:rsidRPr="00B72461">
        <w:lastRenderedPageBreak/>
        <w:t>state agencies: Military, Police, Prison, Immigration Detention, Paramilitary, and Civilian Intelligence Services (Conrad and Moore 2011</w:t>
      </w:r>
      <w:r w:rsidR="00EB16C9" w:rsidRPr="00B72461">
        <w:t>a</w:t>
      </w:r>
      <w:r w:rsidR="00626873" w:rsidRPr="00B72461">
        <w:t xml:space="preserve">). </w:t>
      </w:r>
      <w:r w:rsidR="00675C81" w:rsidRPr="00B72461">
        <w:t>To our knowledge, this is the first paper to use the ITT country-year data to investigate the link between terrorism and torture</w:t>
      </w:r>
      <w:r>
        <w:t xml:space="preserve"> by a specific government agency</w:t>
      </w:r>
      <w:r w:rsidR="000F51D9">
        <w:t>.</w:t>
      </w:r>
    </w:p>
    <w:p w:rsidR="00354BF0" w:rsidRDefault="00354BF0">
      <w:pPr>
        <w:widowControl w:val="0"/>
        <w:autoSpaceDE w:val="0"/>
        <w:autoSpaceDN w:val="0"/>
        <w:adjustRightInd w:val="0"/>
        <w:spacing w:line="480" w:lineRule="auto"/>
        <w:jc w:val="both"/>
      </w:pPr>
      <w:r>
        <w:tab/>
        <w:t xml:space="preserve">While we have clear expectations regarding the effect of terrorism on military torture, we have not developed similar expectations about other types of agencies.  Yet </w:t>
      </w:r>
      <w:r w:rsidRPr="00354BF0">
        <w:t xml:space="preserve">anecdotal evidence in the case of the United States suggests that </w:t>
      </w:r>
      <w:r>
        <w:t xml:space="preserve">civilian </w:t>
      </w:r>
      <w:r w:rsidRPr="00354BF0">
        <w:t>intelligence agencies are primary drivers of torture</w:t>
      </w:r>
      <w:r>
        <w:t>.  T</w:t>
      </w:r>
      <w:r w:rsidRPr="00354BF0">
        <w:t>his does not seem to be the case cross-nationally,</w:t>
      </w:r>
      <w:r>
        <w:t xml:space="preserve"> however,</w:t>
      </w:r>
      <w:r w:rsidRPr="00354BF0">
        <w:t xml:space="preserve"> </w:t>
      </w:r>
      <w:r>
        <w:t>after examining the ITT data</w:t>
      </w:r>
      <w:r w:rsidRPr="00354BF0">
        <w:t xml:space="preserve">.  Out of the 1,672 observations in the dataset, less than </w:t>
      </w:r>
      <w:r w:rsidR="00067B5C">
        <w:t>three percent</w:t>
      </w:r>
      <w:r w:rsidRPr="00354BF0">
        <w:t xml:space="preserve"> are coded at any level of torture by intelligence agencies.  By contrast, some level of military torture occurs in nearly 30</w:t>
      </w:r>
      <w:r w:rsidR="00067B5C">
        <w:t xml:space="preserve"> percent</w:t>
      </w:r>
      <w:r w:rsidRPr="00354BF0">
        <w:t xml:space="preserve"> of the observations in the raw data.   Police torture also occurs at a relatively high rate, yet we did not find a significant relationship with any of our three terrorism variables.  In other words, our results suggested that police officials do not react to terrorist incidents by increasing physical abuse of citizens. Among the control variables in these models, however, domestic dissent had a significant influence on </w:t>
      </w:r>
      <w:r>
        <w:t xml:space="preserve">police </w:t>
      </w:r>
      <w:r w:rsidRPr="00354BF0">
        <w:t xml:space="preserve">torture levels.  Taken together, we interpret these results to mean that police agencies do torture in response to domestic dissent.  Yet terrorist events, </w:t>
      </w:r>
      <w:r w:rsidRPr="00354BF0">
        <w:rPr>
          <w:i/>
          <w:iCs/>
        </w:rPr>
        <w:t>per se</w:t>
      </w:r>
      <w:r w:rsidRPr="00354BF0">
        <w:t>, do not lead to significant increases in police torture.</w:t>
      </w:r>
    </w:p>
    <w:p w:rsidR="008B73DA" w:rsidRDefault="0036636E" w:rsidP="00923764">
      <w:pPr>
        <w:widowControl w:val="0"/>
        <w:autoSpaceDE w:val="0"/>
        <w:autoSpaceDN w:val="0"/>
        <w:adjustRightInd w:val="0"/>
        <w:spacing w:line="480" w:lineRule="auto"/>
        <w:ind w:firstLine="720"/>
        <w:jc w:val="both"/>
        <w:rPr>
          <w:szCs w:val="20"/>
        </w:rPr>
      </w:pPr>
      <w:r w:rsidRPr="00B72461">
        <w:t xml:space="preserve">The </w:t>
      </w:r>
      <w:proofErr w:type="spellStart"/>
      <w:r w:rsidRPr="00B72461">
        <w:t>CYAoC</w:t>
      </w:r>
      <w:proofErr w:type="spellEnd"/>
      <w:r w:rsidR="009A1C76" w:rsidRPr="00B72461">
        <w:t xml:space="preserve"> data</w:t>
      </w:r>
      <w:r w:rsidRPr="00B72461">
        <w:t xml:space="preserve"> include Level of Torture (</w:t>
      </w:r>
      <w:proofErr w:type="spellStart"/>
      <w:r w:rsidRPr="00B72461">
        <w:t>LoT</w:t>
      </w:r>
      <w:proofErr w:type="spellEnd"/>
      <w:r w:rsidRPr="00B72461">
        <w:t>)</w:t>
      </w:r>
      <w:r w:rsidR="005974CD" w:rsidRPr="00B72461">
        <w:t xml:space="preserve">, a five-point ordinal scale that measures </w:t>
      </w:r>
      <w:r w:rsidRPr="00B72461">
        <w:t>the incidence of torture alleged by AI t</w:t>
      </w:r>
      <w:r w:rsidR="009A1C76" w:rsidRPr="00B72461">
        <w:t>o have occurred at the hand of a particular government agency t</w:t>
      </w:r>
      <w:r w:rsidRPr="00B72461">
        <w:t>hroughout an entire country over an entire year.</w:t>
      </w:r>
      <w:r w:rsidRPr="00B72461">
        <w:rPr>
          <w:rStyle w:val="FootnoteReference"/>
        </w:rPr>
        <w:footnoteReference w:id="17"/>
      </w:r>
      <w:r w:rsidR="009A1C76" w:rsidRPr="00B72461">
        <w:t xml:space="preserve"> </w:t>
      </w:r>
      <w:r w:rsidR="00626873" w:rsidRPr="00B72461">
        <w:t>Higher numbers on the scale indicate a greater i</w:t>
      </w:r>
      <w:r w:rsidR="009A1C76" w:rsidRPr="00B72461">
        <w:t xml:space="preserve">ncidence of government torture </w:t>
      </w:r>
      <w:r w:rsidR="00626873" w:rsidRPr="00B72461">
        <w:t xml:space="preserve">(Conrad and </w:t>
      </w:r>
      <w:r w:rsidR="00626873" w:rsidRPr="00B72461">
        <w:lastRenderedPageBreak/>
        <w:t>Moore 2011b</w:t>
      </w:r>
      <w:proofErr w:type="gramStart"/>
      <w:r w:rsidR="00626873" w:rsidRPr="00B72461">
        <w:t>:5</w:t>
      </w:r>
      <w:proofErr w:type="gramEnd"/>
      <w:r w:rsidR="00626873" w:rsidRPr="00B72461">
        <w:t>).</w:t>
      </w:r>
      <w:r w:rsidR="00626873" w:rsidRPr="00B72461">
        <w:rPr>
          <w:rStyle w:val="FootnoteReference"/>
        </w:rPr>
        <w:footnoteReference w:id="18"/>
      </w:r>
      <w:r w:rsidR="00626873" w:rsidRPr="00B72461">
        <w:t xml:space="preserve"> Using this data allows us to </w:t>
      </w:r>
      <w:r w:rsidR="009C1555" w:rsidRPr="00B72461">
        <w:t>determine whether</w:t>
      </w:r>
      <w:r w:rsidR="00626873" w:rsidRPr="00B72461">
        <w:t xml:space="preserve"> </w:t>
      </w:r>
      <w:r w:rsidR="009C1555" w:rsidRPr="00B72461">
        <w:t xml:space="preserve">or </w:t>
      </w:r>
      <w:r w:rsidR="009C1555" w:rsidRPr="00C8562C">
        <w:t>not military personnel</w:t>
      </w:r>
      <w:r w:rsidR="00894DCE" w:rsidRPr="00C8562C">
        <w:t xml:space="preserve"> </w:t>
      </w:r>
      <w:r w:rsidR="00626873" w:rsidRPr="00C8562C">
        <w:t xml:space="preserve">respond </w:t>
      </w:r>
      <w:r w:rsidR="005974CD" w:rsidRPr="00C8562C">
        <w:t>to</w:t>
      </w:r>
      <w:r w:rsidR="00626873" w:rsidRPr="00C8562C">
        <w:t xml:space="preserve"> </w:t>
      </w:r>
      <w:r w:rsidR="005974CD" w:rsidRPr="00C8562C">
        <w:t xml:space="preserve">transnational and domestic </w:t>
      </w:r>
      <w:r w:rsidR="009C1555" w:rsidRPr="00C8562C">
        <w:t>attacks with increased torture</w:t>
      </w:r>
      <w:r w:rsidR="00626873" w:rsidRPr="00C8562C">
        <w:t>.</w:t>
      </w:r>
      <w:r w:rsidR="00C8562C" w:rsidRPr="00C8562C">
        <w:t xml:space="preserve"> </w:t>
      </w:r>
      <w:r w:rsidR="00C8562C" w:rsidRPr="00C8562C">
        <w:rPr>
          <w:szCs w:val="20"/>
        </w:rPr>
        <w:t xml:space="preserve">ITT does not report values for </w:t>
      </w:r>
      <w:proofErr w:type="spellStart"/>
      <w:r w:rsidR="00C8562C" w:rsidRPr="00C8562C">
        <w:rPr>
          <w:szCs w:val="20"/>
        </w:rPr>
        <w:t>LoT</w:t>
      </w:r>
      <w:proofErr w:type="spellEnd"/>
      <w:r w:rsidR="00C8562C" w:rsidRPr="00C8562C">
        <w:rPr>
          <w:szCs w:val="20"/>
        </w:rPr>
        <w:t xml:space="preserve"> in failed states, states experiencing regime change and states occupied by third parties; in our anal</w:t>
      </w:r>
      <w:r w:rsidR="00923764">
        <w:rPr>
          <w:szCs w:val="20"/>
        </w:rPr>
        <w:t>ysis, we recoded these values as</w:t>
      </w:r>
      <w:r w:rsidR="00C8562C" w:rsidRPr="00C8562C">
        <w:rPr>
          <w:szCs w:val="20"/>
        </w:rPr>
        <w:t xml:space="preserve"> missing observations.</w:t>
      </w:r>
      <w:r w:rsidR="008B73DA">
        <w:rPr>
          <w:szCs w:val="20"/>
        </w:rPr>
        <w:t xml:space="preserve"> Table 1 displays descriptive statistics for </w:t>
      </w:r>
      <w:r w:rsidR="008B73DA">
        <w:rPr>
          <w:i/>
          <w:szCs w:val="20"/>
        </w:rPr>
        <w:t xml:space="preserve">Military </w:t>
      </w:r>
      <w:r w:rsidR="006E6134">
        <w:rPr>
          <w:i/>
          <w:szCs w:val="20"/>
        </w:rPr>
        <w:t xml:space="preserve">(ITT) </w:t>
      </w:r>
      <w:r w:rsidR="008B73DA">
        <w:rPr>
          <w:i/>
          <w:szCs w:val="20"/>
        </w:rPr>
        <w:t>Torture</w:t>
      </w:r>
      <w:r w:rsidR="008B73DA">
        <w:rPr>
          <w:szCs w:val="20"/>
        </w:rPr>
        <w:t xml:space="preserve">.  </w:t>
      </w:r>
    </w:p>
    <w:p w:rsidR="008B73DA" w:rsidRPr="008B73DA" w:rsidRDefault="008B73DA" w:rsidP="008B73DA">
      <w:pPr>
        <w:widowControl w:val="0"/>
        <w:autoSpaceDE w:val="0"/>
        <w:autoSpaceDN w:val="0"/>
        <w:adjustRightInd w:val="0"/>
        <w:spacing w:line="480" w:lineRule="auto"/>
        <w:jc w:val="center"/>
        <w:rPr>
          <w:szCs w:val="20"/>
        </w:rPr>
      </w:pPr>
      <w:r>
        <w:rPr>
          <w:szCs w:val="20"/>
        </w:rPr>
        <w:t>(Table 1 about here)</w:t>
      </w:r>
    </w:p>
    <w:p w:rsidR="00894DCE" w:rsidRPr="00B72461" w:rsidRDefault="00626873" w:rsidP="006E6134">
      <w:pPr>
        <w:spacing w:line="480" w:lineRule="auto"/>
        <w:ind w:firstLine="720"/>
        <w:jc w:val="both"/>
      </w:pPr>
      <w:r w:rsidRPr="00B72461">
        <w:t>For comparison with previous research and to determine whether the aggregation of state torture to the country-</w:t>
      </w:r>
      <w:r w:rsidR="00BD5F9B" w:rsidRPr="00B72461">
        <w:t>year is in part responsible</w:t>
      </w:r>
      <w:r w:rsidR="00C458AA" w:rsidRPr="00B72461">
        <w:t xml:space="preserve"> for the</w:t>
      </w:r>
      <w:r w:rsidR="00BD5F9B" w:rsidRPr="00B72461">
        <w:t xml:space="preserve"> mixed results found in previous research</w:t>
      </w:r>
      <w:r w:rsidRPr="00B72461">
        <w:t xml:space="preserve">, we also </w:t>
      </w:r>
      <w:r w:rsidR="00BD5F9B" w:rsidRPr="00B72461">
        <w:t>specify</w:t>
      </w:r>
      <w:r w:rsidRPr="00B72461">
        <w:t xml:space="preserve"> models using the </w:t>
      </w:r>
      <w:proofErr w:type="spellStart"/>
      <w:r w:rsidR="00BD5F9B" w:rsidRPr="00B72461">
        <w:t>Cingranelli</w:t>
      </w:r>
      <w:proofErr w:type="spellEnd"/>
      <w:r w:rsidR="00BD5F9B" w:rsidRPr="00B72461">
        <w:t xml:space="preserve"> and Richards </w:t>
      </w:r>
      <w:r w:rsidR="00894DCE">
        <w:t xml:space="preserve">(CIRI) </w:t>
      </w:r>
      <w:r w:rsidR="00BD5F9B" w:rsidRPr="00B72461">
        <w:t>(2004)</w:t>
      </w:r>
      <w:r w:rsidRPr="00B72461">
        <w:t xml:space="preserve"> measure of </w:t>
      </w:r>
      <w:r w:rsidR="00BD5F9B" w:rsidRPr="00B72461">
        <w:t xml:space="preserve">government </w:t>
      </w:r>
      <w:r w:rsidRPr="00B72461">
        <w:t xml:space="preserve">torture. </w:t>
      </w:r>
      <w:r w:rsidR="005F5022" w:rsidRPr="00B72461">
        <w:t xml:space="preserve">Although important for determining the effect of terrorism on state torture more broadly, the highly aggregated nature of </w:t>
      </w:r>
      <w:r w:rsidR="00894DCE">
        <w:t>our</w:t>
      </w:r>
      <w:r w:rsidR="00894DCE" w:rsidRPr="00B72461">
        <w:t xml:space="preserve"> </w:t>
      </w:r>
      <w:r w:rsidR="009C1555" w:rsidRPr="00B72461">
        <w:rPr>
          <w:i/>
        </w:rPr>
        <w:t xml:space="preserve">Government </w:t>
      </w:r>
      <w:r w:rsidR="006E6134">
        <w:rPr>
          <w:i/>
        </w:rPr>
        <w:t xml:space="preserve">(CIRI) </w:t>
      </w:r>
      <w:r w:rsidR="009C1555" w:rsidRPr="00B72461">
        <w:rPr>
          <w:i/>
        </w:rPr>
        <w:t>Torture</w:t>
      </w:r>
      <w:r w:rsidR="0038590B" w:rsidRPr="00B72461">
        <w:rPr>
          <w:i/>
        </w:rPr>
        <w:t xml:space="preserve"> </w:t>
      </w:r>
      <w:r w:rsidR="00720FB7" w:rsidRPr="00B72461">
        <w:t>variable</w:t>
      </w:r>
      <w:r w:rsidR="0038590B" w:rsidRPr="00B72461">
        <w:rPr>
          <w:i/>
        </w:rPr>
        <w:t xml:space="preserve"> </w:t>
      </w:r>
      <w:r w:rsidR="005F5022" w:rsidRPr="00B72461">
        <w:t xml:space="preserve">does not permit us to investigate the effect of terrorism on torture as perpetrated by </w:t>
      </w:r>
      <w:r w:rsidR="0038590B" w:rsidRPr="00B72461">
        <w:t xml:space="preserve">different </w:t>
      </w:r>
      <w:r w:rsidR="005F5022" w:rsidRPr="00B72461">
        <w:t xml:space="preserve">agents of the state. </w:t>
      </w:r>
      <w:r w:rsidRPr="00B72461">
        <w:t xml:space="preserve">CIRI’s </w:t>
      </w:r>
      <w:r w:rsidR="005F5022" w:rsidRPr="00B72461">
        <w:t xml:space="preserve">three-point ordinal </w:t>
      </w:r>
      <w:r w:rsidRPr="00B72461">
        <w:t>measure of torture catalogues the degree to which citizens of a country are protected against</w:t>
      </w:r>
      <w:r w:rsidR="005F5022" w:rsidRPr="00B72461">
        <w:t xml:space="preserve"> state</w:t>
      </w:r>
      <w:r w:rsidRPr="00B72461">
        <w:t xml:space="preserve"> </w:t>
      </w:r>
      <w:r w:rsidR="005F5022" w:rsidRPr="00B72461">
        <w:t>torture, regardless of the government agency responsible for the abuse. On CIRI’s o</w:t>
      </w:r>
      <w:r w:rsidR="009C1555" w:rsidRPr="00B72461">
        <w:t>riginal scale of state torture,</w:t>
      </w:r>
      <w:r w:rsidR="005F5022" w:rsidRPr="00B72461">
        <w:t xml:space="preserve"> higher values correspond with better </w:t>
      </w:r>
      <w:r w:rsidRPr="00B72461">
        <w:t>protections against</w:t>
      </w:r>
      <w:r w:rsidR="005F5022" w:rsidRPr="00B72461">
        <w:t xml:space="preserve"> violations;</w:t>
      </w:r>
      <w:r w:rsidRPr="00B72461">
        <w:t xml:space="preserve"> </w:t>
      </w:r>
      <w:r w:rsidR="005F5022" w:rsidRPr="00B72461">
        <w:t xml:space="preserve">to better allow for comparability with the ITT measure of state torture, we reverse the scale such that higher values correspond with increased human rights violations. </w:t>
      </w:r>
      <w:r w:rsidR="00894DCE" w:rsidRPr="00863435">
        <w:t xml:space="preserve">Because both the ITT and the CIRI measures of state torture are ordinal, we conduct our analyses using ordered logistical regression. This modeling technique is </w:t>
      </w:r>
      <w:r w:rsidR="00894DCE" w:rsidRPr="00863435">
        <w:lastRenderedPageBreak/>
        <w:t xml:space="preserve">standard when dealing with ordinal dependent variables with limited numbers of value categories (e.g., Davenport 2004, </w:t>
      </w:r>
      <w:proofErr w:type="spellStart"/>
      <w:r w:rsidR="00894DCE" w:rsidRPr="00863435">
        <w:t>Neumeyer</w:t>
      </w:r>
      <w:proofErr w:type="spellEnd"/>
      <w:r w:rsidR="00894DCE" w:rsidRPr="00863435">
        <w:t xml:space="preserve"> 2005, Richards, </w:t>
      </w:r>
      <w:proofErr w:type="spellStart"/>
      <w:r w:rsidR="00894DCE" w:rsidRPr="00863435">
        <w:t>Gelleny</w:t>
      </w:r>
      <w:proofErr w:type="spellEnd"/>
      <w:r w:rsidR="00894DCE" w:rsidRPr="00863435">
        <w:t xml:space="preserve"> and </w:t>
      </w:r>
      <w:proofErr w:type="spellStart"/>
      <w:r w:rsidR="00894DCE" w:rsidRPr="00863435">
        <w:t>Sacko</w:t>
      </w:r>
      <w:proofErr w:type="spellEnd"/>
      <w:r w:rsidR="00894DCE" w:rsidRPr="00863435">
        <w:t xml:space="preserve"> 2001).</w:t>
      </w:r>
    </w:p>
    <w:p w:rsidR="00D53E16" w:rsidRDefault="00894DCE">
      <w:pPr>
        <w:spacing w:line="480" w:lineRule="auto"/>
        <w:jc w:val="both"/>
      </w:pPr>
      <w:r>
        <w:tab/>
      </w:r>
      <w:r w:rsidR="00626873" w:rsidRPr="00B72461">
        <w:t xml:space="preserve">We expect </w:t>
      </w:r>
      <w:r w:rsidR="00F0778E" w:rsidRPr="00B72461">
        <w:t>domestic terrorism—</w:t>
      </w:r>
      <w:r w:rsidR="00AF1875" w:rsidRPr="00B72461">
        <w:t xml:space="preserve">where the perpetrator of an attack and the victim or target are nationals of the same </w:t>
      </w:r>
      <w:r w:rsidR="00F0778E" w:rsidRPr="00B72461">
        <w:t>country—</w:t>
      </w:r>
      <w:r w:rsidR="005F5022" w:rsidRPr="00B72461">
        <w:t xml:space="preserve">and </w:t>
      </w:r>
      <w:r w:rsidR="00AF1875" w:rsidRPr="00B72461">
        <w:t>transnational</w:t>
      </w:r>
      <w:r w:rsidR="00F0778E" w:rsidRPr="00B72461">
        <w:t xml:space="preserve"> terrorism—where the victim and the perpetrator of an attack are of different nationalities—</w:t>
      </w:r>
      <w:r w:rsidR="005F5022" w:rsidRPr="00B72461">
        <w:t xml:space="preserve">to </w:t>
      </w:r>
      <w:r w:rsidR="00AF1875" w:rsidRPr="00B72461">
        <w:t xml:space="preserve">prompt different </w:t>
      </w:r>
      <w:r w:rsidR="00626873" w:rsidRPr="00B72461">
        <w:t xml:space="preserve">responses by </w:t>
      </w:r>
      <w:r w:rsidR="00863435">
        <w:t>military agencies</w:t>
      </w:r>
      <w:r w:rsidR="00AF1875" w:rsidRPr="00B72461">
        <w:t xml:space="preserve"> with regard</w:t>
      </w:r>
      <w:r w:rsidR="00626873" w:rsidRPr="00B72461">
        <w:t xml:space="preserve"> to</w:t>
      </w:r>
      <w:r w:rsidR="00AF1875" w:rsidRPr="00B72461">
        <w:t xml:space="preserve"> the use of torture</w:t>
      </w:r>
      <w:r w:rsidR="00626873" w:rsidRPr="00B72461">
        <w:t xml:space="preserve">. Our data for </w:t>
      </w:r>
      <w:r w:rsidR="00D55238" w:rsidRPr="00D55238">
        <w:rPr>
          <w:i/>
        </w:rPr>
        <w:t>Domestic Terrorism</w:t>
      </w:r>
      <w:r w:rsidR="00923764">
        <w:t xml:space="preserve"> incidents come</w:t>
      </w:r>
      <w:r w:rsidR="00D55238" w:rsidRPr="00D55238">
        <w:t xml:space="preserve"> from Enders, Sandler and </w:t>
      </w:r>
      <w:proofErr w:type="spellStart"/>
      <w:r w:rsidR="00D55238" w:rsidRPr="00D55238">
        <w:t>Gaibulloev</w:t>
      </w:r>
      <w:proofErr w:type="spellEnd"/>
      <w:r w:rsidR="00D55238" w:rsidRPr="00D55238">
        <w:t xml:space="preserve"> (2011), </w:t>
      </w:r>
      <w:r w:rsidR="00923764">
        <w:t>which decomposes</w:t>
      </w:r>
      <w:r w:rsidR="00D55238" w:rsidRPr="00D55238">
        <w:t xml:space="preserve"> the </w:t>
      </w:r>
      <w:r w:rsidR="00923764">
        <w:t>Global Terrorism Database (GTD)</w:t>
      </w:r>
      <w:r w:rsidR="00D55238" w:rsidRPr="00D55238">
        <w:t xml:space="preserve"> published by the START </w:t>
      </w:r>
      <w:proofErr w:type="gramStart"/>
      <w:r w:rsidR="00D55238" w:rsidRPr="00D55238">
        <w:t>Center</w:t>
      </w:r>
      <w:proofErr w:type="gramEnd"/>
      <w:r w:rsidR="00D55238" w:rsidRPr="00D55238">
        <w:t xml:space="preserve"> at the Universi</w:t>
      </w:r>
      <w:r w:rsidR="00923764">
        <w:t>ty of Maryland (GTD 2008). The</w:t>
      </w:r>
      <w:r w:rsidR="00D55238" w:rsidRPr="00D55238">
        <w:t xml:space="preserve"> decomposition allows users to separate transnational from domestic at</w:t>
      </w:r>
      <w:r w:rsidR="00923764">
        <w:t xml:space="preserve">tacks within the GTD database. To create our </w:t>
      </w:r>
      <w:r w:rsidR="00CB538D">
        <w:t>in</w:t>
      </w:r>
      <w:r w:rsidR="00923764">
        <w:t>dependent variables, w</w:t>
      </w:r>
      <w:r w:rsidR="00D55238" w:rsidRPr="00D55238">
        <w:t>e reshape</w:t>
      </w:r>
      <w:r w:rsidR="00923764">
        <w:t>d</w:t>
      </w:r>
      <w:r w:rsidR="00626873" w:rsidRPr="00B72461">
        <w:t xml:space="preserve"> the domestic attacks reported in Enders, Sandl</w:t>
      </w:r>
      <w:r w:rsidR="002D5C65" w:rsidRPr="00B72461">
        <w:t xml:space="preserve">er and </w:t>
      </w:r>
      <w:proofErr w:type="spellStart"/>
      <w:r w:rsidR="002D5C65" w:rsidRPr="00B72461">
        <w:t>Gaibulloev</w:t>
      </w:r>
      <w:proofErr w:type="spellEnd"/>
      <w:r w:rsidR="002D5C65" w:rsidRPr="00B72461">
        <w:t xml:space="preserve"> (2011) </w:t>
      </w:r>
      <w:r w:rsidR="00923764">
        <w:t xml:space="preserve">and </w:t>
      </w:r>
      <w:r w:rsidR="00923764" w:rsidRPr="00B72461">
        <w:t>the aggregate measure of all terrorist attacks (both transnational and domestic) provided b</w:t>
      </w:r>
      <w:r w:rsidR="00923764">
        <w:t>y the Global Terrorism Database</w:t>
      </w:r>
      <w:r w:rsidR="00923764" w:rsidRPr="00B72461">
        <w:t xml:space="preserve"> </w:t>
      </w:r>
      <w:r w:rsidR="002D5C65" w:rsidRPr="00B72461">
        <w:t xml:space="preserve">into </w:t>
      </w:r>
      <w:r w:rsidR="00923764">
        <w:t>country-year format</w:t>
      </w:r>
      <w:r w:rsidR="00F14BBD" w:rsidRPr="00B72461">
        <w:t xml:space="preserve">. Enders, Sandler and </w:t>
      </w:r>
      <w:proofErr w:type="spellStart"/>
      <w:r w:rsidR="00F14BBD" w:rsidRPr="00B72461">
        <w:t>Gaibulloev’s</w:t>
      </w:r>
      <w:proofErr w:type="spellEnd"/>
      <w:r w:rsidR="00F14BBD" w:rsidRPr="00B72461">
        <w:t xml:space="preserve"> (2011) determin</w:t>
      </w:r>
      <w:r w:rsidR="0038590B" w:rsidRPr="00B72461">
        <w:t>e</w:t>
      </w:r>
      <w:r w:rsidR="00F14BBD" w:rsidRPr="00B72461">
        <w:t xml:space="preserve"> that 85 percent of all terrorist events in the GTD database are domestic attacks. This shapes our expectations that the GTD-based domestic terrorism</w:t>
      </w:r>
      <w:r w:rsidR="004362CF" w:rsidRPr="00B72461">
        <w:t xml:space="preserve"> and aggregate terrorism (all terrorist attacks</w:t>
      </w:r>
      <w:r w:rsidR="00316F58" w:rsidRPr="00B72461">
        <w:t>)</w:t>
      </w:r>
      <w:r w:rsidR="00F14BBD" w:rsidRPr="00B72461">
        <w:t xml:space="preserve"> variables are likely to have similar effects on our dependent variables.</w:t>
      </w:r>
    </w:p>
    <w:p w:rsidR="00970F85" w:rsidRPr="00B72461" w:rsidRDefault="00720FB7">
      <w:pPr>
        <w:spacing w:line="480" w:lineRule="auto"/>
        <w:ind w:firstLine="720"/>
        <w:jc w:val="both"/>
        <w:rPr>
          <w:szCs w:val="22"/>
        </w:rPr>
      </w:pPr>
      <w:r w:rsidRPr="00B72461">
        <w:rPr>
          <w:szCs w:val="22"/>
        </w:rPr>
        <w:t xml:space="preserve">Our data for </w:t>
      </w:r>
      <w:r w:rsidR="0038590B" w:rsidRPr="00B72461">
        <w:rPr>
          <w:i/>
          <w:szCs w:val="22"/>
        </w:rPr>
        <w:t xml:space="preserve">Transnational </w:t>
      </w:r>
      <w:r w:rsidRPr="00B72461">
        <w:rPr>
          <w:i/>
          <w:szCs w:val="22"/>
        </w:rPr>
        <w:t>Terrorism</w:t>
      </w:r>
      <w:r w:rsidRPr="00B72461">
        <w:rPr>
          <w:szCs w:val="22"/>
        </w:rPr>
        <w:t xml:space="preserve"> are derived from the International Terrorism: Attributes of Terrorist Events (ITERATE) database published by </w:t>
      </w:r>
      <w:proofErr w:type="spellStart"/>
      <w:r w:rsidRPr="00B72461">
        <w:rPr>
          <w:szCs w:val="22"/>
        </w:rPr>
        <w:t>Mickolus</w:t>
      </w:r>
      <w:proofErr w:type="spellEnd"/>
      <w:r w:rsidRPr="00B72461">
        <w:rPr>
          <w:szCs w:val="22"/>
        </w:rPr>
        <w:t xml:space="preserve">, Sandler, Murdoch and </w:t>
      </w:r>
      <w:proofErr w:type="spellStart"/>
      <w:r w:rsidRPr="00B72461">
        <w:rPr>
          <w:szCs w:val="22"/>
        </w:rPr>
        <w:t>Flemming</w:t>
      </w:r>
      <w:proofErr w:type="spellEnd"/>
      <w:r w:rsidRPr="00B72461">
        <w:rPr>
          <w:szCs w:val="22"/>
        </w:rPr>
        <w:t xml:space="preserve"> (2009).</w:t>
      </w:r>
      <w:r w:rsidR="00596048">
        <w:rPr>
          <w:rStyle w:val="FootnoteReference"/>
          <w:szCs w:val="22"/>
        </w:rPr>
        <w:footnoteReference w:id="19"/>
      </w:r>
      <w:r w:rsidR="00675C81" w:rsidRPr="00B72461">
        <w:rPr>
          <w:szCs w:val="22"/>
        </w:rPr>
        <w:t xml:space="preserve"> </w:t>
      </w:r>
      <w:r w:rsidRPr="00B72461">
        <w:rPr>
          <w:szCs w:val="22"/>
        </w:rPr>
        <w:t xml:space="preserve">Quantitative studies of transnational terrorism </w:t>
      </w:r>
      <w:r w:rsidRPr="00B72461">
        <w:rPr>
          <w:szCs w:val="22"/>
        </w:rPr>
        <w:lastRenderedPageBreak/>
        <w:t xml:space="preserve">have long relied on the ITERATE dataset because it provides comprehensive measurement of transnational terrorist attacks around the world since 1968. ITERATE codes only terrorist incidents whose effects transcend borders due to the </w:t>
      </w:r>
      <w:r w:rsidR="00D55238" w:rsidRPr="00D55238">
        <w:rPr>
          <w:rFonts w:cs="CMR10"/>
          <w:szCs w:val="22"/>
        </w:rPr>
        <w:t xml:space="preserve">“location, the </w:t>
      </w:r>
      <w:r w:rsidR="00D55238" w:rsidRPr="00D55238">
        <w:rPr>
          <w:szCs w:val="22"/>
        </w:rPr>
        <w:t>nature of [their] institutional or human victims, or the mechanics of [their] resolution” (</w:t>
      </w:r>
      <w:proofErr w:type="spellStart"/>
      <w:r w:rsidR="00D55238" w:rsidRPr="00D55238">
        <w:rPr>
          <w:szCs w:val="22"/>
        </w:rPr>
        <w:t>Mickolus</w:t>
      </w:r>
      <w:proofErr w:type="spellEnd"/>
      <w:r w:rsidR="00D55238" w:rsidRPr="00D55238">
        <w:rPr>
          <w:szCs w:val="22"/>
        </w:rPr>
        <w:t xml:space="preserve"> et al</w:t>
      </w:r>
      <w:r w:rsidR="00894DCE">
        <w:rPr>
          <w:szCs w:val="22"/>
        </w:rPr>
        <w:t>.</w:t>
      </w:r>
      <w:r w:rsidR="00D55238" w:rsidRPr="00D55238">
        <w:rPr>
          <w:szCs w:val="22"/>
        </w:rPr>
        <w:t xml:space="preserve"> 2009). We reshape the ITERATE</w:t>
      </w:r>
      <w:r w:rsidR="008F5AC0">
        <w:rPr>
          <w:szCs w:val="22"/>
        </w:rPr>
        <w:t xml:space="preserve"> data</w:t>
      </w:r>
      <w:r w:rsidR="00D55238" w:rsidRPr="00D55238">
        <w:rPr>
          <w:szCs w:val="22"/>
        </w:rPr>
        <w:t xml:space="preserve"> into country-year format and recode country-year counts of terrorist incidents based on where the incident </w:t>
      </w:r>
      <w:r w:rsidR="00D55238" w:rsidRPr="00D55238">
        <w:rPr>
          <w:i/>
          <w:szCs w:val="22"/>
        </w:rPr>
        <w:t>terminates</w:t>
      </w:r>
      <w:r w:rsidR="00D55238" w:rsidRPr="00D55238">
        <w:rPr>
          <w:szCs w:val="22"/>
        </w:rPr>
        <w:t xml:space="preserve"> rather than where it </w:t>
      </w:r>
      <w:r w:rsidR="00D55238" w:rsidRPr="00D55238">
        <w:rPr>
          <w:i/>
          <w:szCs w:val="22"/>
        </w:rPr>
        <w:t>originates</w:t>
      </w:r>
      <w:r w:rsidR="00D55238" w:rsidRPr="00D55238">
        <w:rPr>
          <w:szCs w:val="22"/>
        </w:rPr>
        <w:t xml:space="preserve">. As such, our main independent variables are counts of the number of transnational and domestic </w:t>
      </w:r>
      <w:r w:rsidR="00894DCE">
        <w:rPr>
          <w:szCs w:val="22"/>
        </w:rPr>
        <w:t xml:space="preserve">terrorist </w:t>
      </w:r>
      <w:r w:rsidR="00D55238" w:rsidRPr="00D55238">
        <w:rPr>
          <w:szCs w:val="22"/>
        </w:rPr>
        <w:t>attacks occurring in a given country</w:t>
      </w:r>
      <w:r w:rsidR="00894DCE">
        <w:rPr>
          <w:szCs w:val="22"/>
        </w:rPr>
        <w:t>-year.</w:t>
      </w:r>
    </w:p>
    <w:p w:rsidR="00E271EF" w:rsidRPr="00B72461" w:rsidRDefault="00D55238" w:rsidP="00E271EF">
      <w:pPr>
        <w:spacing w:line="480" w:lineRule="auto"/>
        <w:ind w:firstLine="720"/>
        <w:jc w:val="both"/>
      </w:pPr>
      <w:r w:rsidRPr="00D55238">
        <w:t>We are</w:t>
      </w:r>
      <w:r w:rsidR="00894DCE">
        <w:t xml:space="preserve"> also</w:t>
      </w:r>
      <w:r w:rsidRPr="00D55238">
        <w:t xml:space="preserve"> interested in the effect of democracy as it mediates the relationship between transnational terrorism and military torture. We measure </w:t>
      </w:r>
      <w:r w:rsidR="006B28B7">
        <w:rPr>
          <w:i/>
        </w:rPr>
        <w:t>Regime Type</w:t>
      </w:r>
      <w:r w:rsidRPr="00D55238">
        <w:t xml:space="preserve"> using a continuous indicator from Polity IV (Marshall, </w:t>
      </w:r>
      <w:proofErr w:type="spellStart"/>
      <w:r w:rsidRPr="00D55238">
        <w:t>Jaggers</w:t>
      </w:r>
      <w:proofErr w:type="spellEnd"/>
      <w:r w:rsidRPr="00D55238">
        <w:t xml:space="preserve">, and </w:t>
      </w:r>
      <w:proofErr w:type="spellStart"/>
      <w:r w:rsidRPr="00D55238">
        <w:t>Gurr</w:t>
      </w:r>
      <w:proofErr w:type="spellEnd"/>
      <w:r w:rsidRPr="00D55238">
        <w:t xml:space="preserve"> 2006).</w:t>
      </w:r>
      <w:r w:rsidR="00894DCE">
        <w:t xml:space="preserve"> </w:t>
      </w:r>
      <w:r w:rsidR="001510A6">
        <w:t>The scale ranges from -10 to 10</w:t>
      </w:r>
      <w:r w:rsidR="0023035B">
        <w:t>,</w:t>
      </w:r>
      <w:r w:rsidRPr="00D55238">
        <w:t xml:space="preserve"> with higher values indicating more democratic states</w:t>
      </w:r>
      <w:r w:rsidR="00894DCE">
        <w:t>.</w:t>
      </w:r>
      <w:r w:rsidRPr="00D55238">
        <w:rPr>
          <w:rStyle w:val="FootnoteReference"/>
        </w:rPr>
        <w:footnoteReference w:id="20"/>
      </w:r>
      <w:r w:rsidRPr="00D55238">
        <w:t xml:space="preserve"> In order to test our </w:t>
      </w:r>
      <w:r w:rsidR="00894DCE">
        <w:t>second</w:t>
      </w:r>
      <w:r w:rsidRPr="00D55238">
        <w:t xml:space="preserve"> hypothesis, we include in our models interaction terms that multiply our indicator of </w:t>
      </w:r>
      <w:r w:rsidR="006B28B7">
        <w:t>regime type</w:t>
      </w:r>
      <w:r w:rsidRPr="00D55238">
        <w:t xml:space="preserve"> by our indicator of transnational terrorism, as well as the appropriate constituent terms (</w:t>
      </w:r>
      <w:proofErr w:type="spellStart"/>
      <w:r w:rsidRPr="00D55238">
        <w:t>Brambor</w:t>
      </w:r>
      <w:proofErr w:type="spellEnd"/>
      <w:r w:rsidRPr="00D55238">
        <w:t xml:space="preserve"> et al. 200</w:t>
      </w:r>
      <w:r w:rsidR="00C11EEA">
        <w:t>6</w:t>
      </w:r>
      <w:r w:rsidRPr="00D55238">
        <w:t>).</w:t>
      </w:r>
    </w:p>
    <w:p w:rsidR="00BA7329" w:rsidRDefault="00D55238" w:rsidP="00BA7329">
      <w:pPr>
        <w:spacing w:line="480" w:lineRule="auto"/>
        <w:ind w:firstLine="720"/>
        <w:jc w:val="both"/>
        <w:rPr>
          <w:szCs w:val="22"/>
        </w:rPr>
      </w:pPr>
      <w:r w:rsidRPr="00D55238">
        <w:t xml:space="preserve">We </w:t>
      </w:r>
      <w:r w:rsidR="00894DCE">
        <w:t>employ</w:t>
      </w:r>
      <w:r w:rsidRPr="00D55238">
        <w:t xml:space="preserve"> several control variables </w:t>
      </w:r>
      <w:r w:rsidR="00923764">
        <w:t>argued</w:t>
      </w:r>
      <w:r w:rsidRPr="00D55238">
        <w:t xml:space="preserve"> in the literature </w:t>
      </w:r>
      <w:r w:rsidR="00923764">
        <w:t xml:space="preserve">on state repression </w:t>
      </w:r>
      <w:r w:rsidR="00923764" w:rsidRPr="00D55238">
        <w:rPr>
          <w:color w:val="000000"/>
        </w:rPr>
        <w:t xml:space="preserve">to affect state violations of human rights </w:t>
      </w:r>
      <w:r w:rsidRPr="00D55238">
        <w:rPr>
          <w:color w:val="000000"/>
        </w:rPr>
        <w:t>(e.g., Davenport 1996</w:t>
      </w:r>
      <w:r w:rsidR="00894DCE">
        <w:rPr>
          <w:color w:val="000000"/>
        </w:rPr>
        <w:t>,</w:t>
      </w:r>
      <w:r w:rsidRPr="00D55238">
        <w:rPr>
          <w:color w:val="000000"/>
        </w:rPr>
        <w:t xml:space="preserve"> Hathaway 2002</w:t>
      </w:r>
      <w:r w:rsidR="00894DCE">
        <w:rPr>
          <w:color w:val="000000"/>
        </w:rPr>
        <w:t>,</w:t>
      </w:r>
      <w:r w:rsidRPr="00D55238">
        <w:rPr>
          <w:color w:val="000000"/>
        </w:rPr>
        <w:t xml:space="preserve"> Piazza and Walsh 2009</w:t>
      </w:r>
      <w:r w:rsidR="00894DCE">
        <w:rPr>
          <w:color w:val="000000"/>
        </w:rPr>
        <w:t>,</w:t>
      </w:r>
      <w:r w:rsidRPr="00D55238">
        <w:rPr>
          <w:color w:val="000000"/>
        </w:rPr>
        <w:t xml:space="preserve"> Poe and Tate 1994)</w:t>
      </w:r>
      <w:r w:rsidRPr="00D55238">
        <w:rPr>
          <w:szCs w:val="22"/>
        </w:rPr>
        <w:t>.</w:t>
      </w:r>
      <w:r w:rsidRPr="00D55238">
        <w:t xml:space="preserve"> First, </w:t>
      </w:r>
      <w:r w:rsidRPr="00D55238">
        <w:rPr>
          <w:szCs w:val="22"/>
        </w:rPr>
        <w:t>country wealth and national population are consistently related to state repression (</w:t>
      </w:r>
      <w:r w:rsidR="00923764">
        <w:rPr>
          <w:szCs w:val="22"/>
        </w:rPr>
        <w:t xml:space="preserve">e.g., </w:t>
      </w:r>
      <w:proofErr w:type="spellStart"/>
      <w:r w:rsidRPr="00D55238">
        <w:rPr>
          <w:szCs w:val="22"/>
        </w:rPr>
        <w:t>Ziegenhagen</w:t>
      </w:r>
      <w:proofErr w:type="spellEnd"/>
      <w:r w:rsidRPr="00D55238">
        <w:rPr>
          <w:szCs w:val="22"/>
        </w:rPr>
        <w:t xml:space="preserve"> 1986</w:t>
      </w:r>
      <w:r w:rsidR="00894DCE">
        <w:rPr>
          <w:szCs w:val="22"/>
        </w:rPr>
        <w:t>,</w:t>
      </w:r>
      <w:r w:rsidRPr="00D55238">
        <w:rPr>
          <w:szCs w:val="22"/>
        </w:rPr>
        <w:t xml:space="preserve"> </w:t>
      </w:r>
      <w:r w:rsidR="00923764" w:rsidRPr="00D55238">
        <w:t>Henderson 1993</w:t>
      </w:r>
      <w:r w:rsidR="00923764">
        <w:t xml:space="preserve">, </w:t>
      </w:r>
      <w:r w:rsidRPr="00D55238">
        <w:rPr>
          <w:szCs w:val="22"/>
        </w:rPr>
        <w:t>Poe and Tate 1994)</w:t>
      </w:r>
      <w:r w:rsidRPr="00D55238">
        <w:rPr>
          <w:i/>
        </w:rPr>
        <w:t>.</w:t>
      </w:r>
      <w:r w:rsidRPr="00D55238">
        <w:t xml:space="preserve"> </w:t>
      </w:r>
      <w:r w:rsidR="00EC2DD9">
        <w:t>Economic wealth is widely</w:t>
      </w:r>
      <w:r w:rsidR="00EC2DD9" w:rsidRPr="00D55238">
        <w:t xml:space="preserve"> believed to have a negative influence on the level of human rights abuses i</w:t>
      </w:r>
      <w:r w:rsidR="00EC2DD9">
        <w:t>n a country (Poe and Tate 1994)</w:t>
      </w:r>
      <w:r w:rsidR="00EC2DD9" w:rsidRPr="00D55238">
        <w:t xml:space="preserve">. </w:t>
      </w:r>
      <w:r w:rsidRPr="00D55238">
        <w:t xml:space="preserve">We </w:t>
      </w:r>
      <w:r w:rsidR="00EC2DD9">
        <w:t xml:space="preserve">measure </w:t>
      </w:r>
      <w:r w:rsidR="00EC2DD9" w:rsidRPr="00EC2DD9">
        <w:rPr>
          <w:i/>
        </w:rPr>
        <w:t>Country Wealth</w:t>
      </w:r>
      <w:r w:rsidR="00EC2DD9">
        <w:t xml:space="preserve"> </w:t>
      </w:r>
      <w:r w:rsidR="00EC2DD9">
        <w:lastRenderedPageBreak/>
        <w:t>using</w:t>
      </w:r>
      <w:r w:rsidRPr="00D55238">
        <w:t xml:space="preserve"> </w:t>
      </w:r>
      <w:r w:rsidR="006E6134">
        <w:t>gross domestic p</w:t>
      </w:r>
      <w:r w:rsidRPr="006E6134">
        <w:t>roduct per capita</w:t>
      </w:r>
      <w:r w:rsidRPr="00D55238">
        <w:rPr>
          <w:i/>
        </w:rPr>
        <w:t xml:space="preserve"> </w:t>
      </w:r>
      <w:r w:rsidR="008B73DA">
        <w:t>in constant (2000)</w:t>
      </w:r>
      <w:r w:rsidR="00EC2DD9">
        <w:t xml:space="preserve"> U.S. dollars (World Bank 2012). </w:t>
      </w:r>
      <w:r w:rsidRPr="00D55238">
        <w:rPr>
          <w:i/>
          <w:szCs w:val="22"/>
        </w:rPr>
        <w:t>Population</w:t>
      </w:r>
      <w:r w:rsidRPr="00D55238">
        <w:rPr>
          <w:szCs w:val="22"/>
        </w:rPr>
        <w:t xml:space="preserve"> </w:t>
      </w:r>
      <w:r w:rsidR="00BA7329">
        <w:rPr>
          <w:szCs w:val="22"/>
        </w:rPr>
        <w:t>data is</w:t>
      </w:r>
      <w:r w:rsidRPr="00D55238">
        <w:rPr>
          <w:szCs w:val="22"/>
        </w:rPr>
        <w:t xml:space="preserve"> drawn from the</w:t>
      </w:r>
      <w:r w:rsidRPr="00D55238">
        <w:t xml:space="preserve"> </w:t>
      </w:r>
      <w:r w:rsidRPr="00D55238">
        <w:rPr>
          <w:szCs w:val="22"/>
        </w:rPr>
        <w:t xml:space="preserve">Penn World Tables (PWT 7.0 2011). </w:t>
      </w:r>
    </w:p>
    <w:p w:rsidR="000125F9" w:rsidRPr="00B72461" w:rsidRDefault="00D55238" w:rsidP="00BA7329">
      <w:pPr>
        <w:spacing w:line="480" w:lineRule="auto"/>
        <w:ind w:firstLine="720"/>
        <w:jc w:val="both"/>
      </w:pPr>
      <w:r w:rsidRPr="00D55238">
        <w:t>Second, engagement in internal or international armed conflict often leads to state violations of human rights (</w:t>
      </w:r>
      <w:r w:rsidRPr="00D55238">
        <w:rPr>
          <w:szCs w:val="22"/>
        </w:rPr>
        <w:t>Poe and Tate 1994;</w:t>
      </w:r>
      <w:r w:rsidRPr="00D55238">
        <w:t xml:space="preserve"> </w:t>
      </w:r>
      <w:proofErr w:type="spellStart"/>
      <w:r w:rsidRPr="00D55238">
        <w:t>Ryckman</w:t>
      </w:r>
      <w:proofErr w:type="spellEnd"/>
      <w:r w:rsidRPr="00D55238">
        <w:t xml:space="preserve"> and </w:t>
      </w:r>
      <w:proofErr w:type="spellStart"/>
      <w:r w:rsidRPr="00D55238">
        <w:t>Goertz</w:t>
      </w:r>
      <w:proofErr w:type="spellEnd"/>
      <w:r w:rsidRPr="00D55238">
        <w:t>, 2008</w:t>
      </w:r>
      <w:r w:rsidRPr="00D55238">
        <w:rPr>
          <w:szCs w:val="22"/>
        </w:rPr>
        <w:t>)</w:t>
      </w:r>
      <w:r w:rsidRPr="00D55238">
        <w:t xml:space="preserve">. We control for </w:t>
      </w:r>
      <w:r w:rsidRPr="00D55238">
        <w:rPr>
          <w:i/>
        </w:rPr>
        <w:t>Civil War</w:t>
      </w:r>
      <w:r w:rsidRPr="00D55238">
        <w:t xml:space="preserve"> and </w:t>
      </w:r>
      <w:r w:rsidRPr="00D55238">
        <w:rPr>
          <w:i/>
        </w:rPr>
        <w:t>Interstate War</w:t>
      </w:r>
      <w:r w:rsidRPr="00D55238">
        <w:t xml:space="preserve"> using dummy variables from PRIO</w:t>
      </w:r>
      <w:r w:rsidRPr="00D55238">
        <w:rPr>
          <w:szCs w:val="22"/>
        </w:rPr>
        <w:t>.</w:t>
      </w:r>
      <w:r w:rsidRPr="00D55238">
        <w:t xml:space="preserve"> </w:t>
      </w:r>
      <w:r w:rsidRPr="00D55238">
        <w:rPr>
          <w:i/>
        </w:rPr>
        <w:t>Interstate War</w:t>
      </w:r>
      <w:r w:rsidRPr="00D55238">
        <w:t xml:space="preserve"> is coded 1 if a state is involved in an interstate conflict in a given year, and zero otherwise.  </w:t>
      </w:r>
      <w:r w:rsidRPr="00D55238">
        <w:rPr>
          <w:i/>
        </w:rPr>
        <w:t>Civil War</w:t>
      </w:r>
      <w:r w:rsidRPr="00D55238">
        <w:t xml:space="preserve"> equals 1 if a state experienced an intrastate war, or participated in an internationalized civil war in a given year, and 0 otherwise. </w:t>
      </w:r>
      <w:r w:rsidRPr="00D55238">
        <w:rPr>
          <w:szCs w:val="22"/>
        </w:rPr>
        <w:t>Aside from civil and international war, states are more likely to engage in repression if they face domestic dissent (</w:t>
      </w:r>
      <w:proofErr w:type="spellStart"/>
      <w:r w:rsidRPr="00D55238">
        <w:rPr>
          <w:szCs w:val="22"/>
        </w:rPr>
        <w:t>Lichbach</w:t>
      </w:r>
      <w:proofErr w:type="spellEnd"/>
      <w:r w:rsidRPr="00D55238">
        <w:rPr>
          <w:szCs w:val="22"/>
        </w:rPr>
        <w:t xml:space="preserve"> 1987</w:t>
      </w:r>
      <w:r w:rsidR="007D5BF4">
        <w:rPr>
          <w:szCs w:val="22"/>
        </w:rPr>
        <w:t>,</w:t>
      </w:r>
      <w:r w:rsidRPr="00D55238">
        <w:rPr>
          <w:szCs w:val="22"/>
        </w:rPr>
        <w:t xml:space="preserve"> Moore 2000</w:t>
      </w:r>
      <w:r w:rsidR="007D5BF4">
        <w:rPr>
          <w:szCs w:val="22"/>
        </w:rPr>
        <w:t>,</w:t>
      </w:r>
      <w:r w:rsidRPr="00D55238">
        <w:rPr>
          <w:szCs w:val="22"/>
        </w:rPr>
        <w:t xml:space="preserve"> Davenport 2007</w:t>
      </w:r>
      <w:r w:rsidRPr="00D55238">
        <w:rPr>
          <w:bCs/>
          <w:szCs w:val="22"/>
        </w:rPr>
        <w:t>b</w:t>
      </w:r>
      <w:r w:rsidRPr="00D55238">
        <w:rPr>
          <w:szCs w:val="22"/>
        </w:rPr>
        <w:t xml:space="preserve">). In order to measure </w:t>
      </w:r>
      <w:r w:rsidRPr="00D55238">
        <w:rPr>
          <w:i/>
          <w:szCs w:val="22"/>
        </w:rPr>
        <w:t>Dissent</w:t>
      </w:r>
      <w:r w:rsidRPr="00D55238">
        <w:rPr>
          <w:szCs w:val="22"/>
        </w:rPr>
        <w:t xml:space="preserve">, we create a variable that is coded 1 if a state experienced any of the following events in a given year, according to the Cross-National Time-Series Data Archive (Banks 2002): assassinations, strikes, guerilla warfare, government crises, purges, riots, revolutions, or anti-government demonstrations. </w:t>
      </w:r>
      <w:r w:rsidRPr="00D55238">
        <w:t xml:space="preserve">To account for the effect of international influences on state torture, we also include a binary measure indicating whether or not a country is a signatory to the United Nations Convention Against Torture </w:t>
      </w:r>
      <w:r w:rsidRPr="006E6134">
        <w:t>(CAT)</w:t>
      </w:r>
      <w:r w:rsidRPr="00D55238">
        <w:t xml:space="preserve"> in any given year. </w:t>
      </w:r>
      <w:r w:rsidR="00CB538D">
        <w:t>Previous research has found mixed effects for this variable. Hathaway (200</w:t>
      </w:r>
      <w:r w:rsidR="00ED2456">
        <w:t>2</w:t>
      </w:r>
      <w:r w:rsidR="00CB538D">
        <w:t xml:space="preserve">) reports that signing the CAT </w:t>
      </w:r>
      <w:r w:rsidR="00ED2456">
        <w:t xml:space="preserve">does not influence </w:t>
      </w:r>
      <w:r w:rsidR="00CB538D">
        <w:t xml:space="preserve">torture; Vreeland </w:t>
      </w:r>
      <w:r w:rsidR="00ED2456">
        <w:t xml:space="preserve">(2008) </w:t>
      </w:r>
      <w:r w:rsidR="00CB538D">
        <w:t xml:space="preserve">finds that some non-democracies with political parties are more likely to sign the CAT, but this </w:t>
      </w:r>
      <w:r w:rsidR="00ED2456">
        <w:t xml:space="preserve">little effect on their subsequent behavior; Simmons (2009) holds that treaties such as the CAT reduce human rights violations primarily in long-standing democracies. These different findings do not create a strong prior belief about the effects of the CAT; we include it as a control </w:t>
      </w:r>
      <w:r w:rsidR="00ED2456">
        <w:lastRenderedPageBreak/>
        <w:t xml:space="preserve">variable in case it has an influence on the disaggregated measures of torture employed in this paper. </w:t>
      </w:r>
    </w:p>
    <w:p w:rsidR="00CB5151" w:rsidRPr="00B72461" w:rsidRDefault="00D55238" w:rsidP="000125F9">
      <w:pPr>
        <w:spacing w:line="480" w:lineRule="auto"/>
        <w:ind w:firstLine="720"/>
        <w:jc w:val="both"/>
      </w:pPr>
      <w:r w:rsidRPr="00D55238">
        <w:rPr>
          <w:szCs w:val="20"/>
        </w:rPr>
        <w:t xml:space="preserve">Finally, ITT and CIRI torture data report information on AI torture </w:t>
      </w:r>
      <w:r w:rsidRPr="00D55238">
        <w:rPr>
          <w:i/>
          <w:iCs/>
          <w:szCs w:val="20"/>
        </w:rPr>
        <w:t>allegations</w:t>
      </w:r>
      <w:r w:rsidRPr="00D55238">
        <w:rPr>
          <w:szCs w:val="20"/>
        </w:rPr>
        <w:t xml:space="preserve"> rather than actual state abuse. As such, it is possible that AI allegations of torture may be a </w:t>
      </w:r>
      <w:r w:rsidRPr="00D55238">
        <w:rPr>
          <w:i/>
          <w:iCs/>
          <w:szCs w:val="20"/>
        </w:rPr>
        <w:t>biased</w:t>
      </w:r>
      <w:r w:rsidRPr="00D55238">
        <w:rPr>
          <w:szCs w:val="20"/>
        </w:rPr>
        <w:t xml:space="preserve"> undercount of actual state torture (Conrad and Moore 2011b: 5) due to (lack of) AI access and the strategic concerns of the organization. We account for the data generating process by which AI makes allegations by including in our models a measure of </w:t>
      </w:r>
      <w:r w:rsidRPr="00D55238">
        <w:rPr>
          <w:i/>
          <w:szCs w:val="20"/>
        </w:rPr>
        <w:t>Restricted Access</w:t>
      </w:r>
      <w:r w:rsidRPr="00D55238">
        <w:rPr>
          <w:szCs w:val="20"/>
        </w:rPr>
        <w:t>, a binary accounting of all country years in which AI (or another INGO) commented on difficulties accessing victims of human rights violations.</w:t>
      </w:r>
      <w:r w:rsidRPr="00D55238">
        <w:t xml:space="preserve"> As is convention and to account for </w:t>
      </w:r>
      <w:proofErr w:type="spellStart"/>
      <w:r w:rsidRPr="00D55238">
        <w:t>endogeneity</w:t>
      </w:r>
      <w:proofErr w:type="spellEnd"/>
      <w:r w:rsidRPr="00D55238">
        <w:t xml:space="preserve">, all independent variables except </w:t>
      </w:r>
      <w:r w:rsidRPr="00D55238">
        <w:rPr>
          <w:i/>
        </w:rPr>
        <w:t>Restricted Access</w:t>
      </w:r>
      <w:r w:rsidRPr="00D55238">
        <w:t xml:space="preserve"> are lagged one period.</w:t>
      </w:r>
      <w:r w:rsidR="0070106F">
        <w:t xml:space="preserve">  </w:t>
      </w:r>
      <w:r w:rsidR="00133F30">
        <w:t>For all models we compute robust standard errors, clustered on the country.</w:t>
      </w:r>
      <w:r w:rsidR="0070106F">
        <w:t xml:space="preserve"> </w:t>
      </w:r>
      <w:r w:rsidR="00133F30">
        <w:t xml:space="preserve"> </w:t>
      </w:r>
      <w:r w:rsidR="0070106F">
        <w:t xml:space="preserve"> </w:t>
      </w:r>
    </w:p>
    <w:p w:rsidR="00AC2F45" w:rsidRPr="00B72461" w:rsidRDefault="00AC2F45" w:rsidP="00AC2F45">
      <w:pPr>
        <w:spacing w:line="480" w:lineRule="auto"/>
        <w:jc w:val="both"/>
        <w:rPr>
          <w:color w:val="FF0000"/>
        </w:rPr>
      </w:pPr>
    </w:p>
    <w:p w:rsidR="00626873" w:rsidRPr="00B72461" w:rsidRDefault="00D55238" w:rsidP="00AC2F45">
      <w:pPr>
        <w:spacing w:line="480" w:lineRule="auto"/>
        <w:jc w:val="both"/>
      </w:pPr>
      <w:r w:rsidRPr="00D55238">
        <w:rPr>
          <w:b/>
          <w:bCs/>
          <w:color w:val="000000"/>
        </w:rPr>
        <w:t>Results and Discussion</w:t>
      </w:r>
    </w:p>
    <w:p w:rsidR="00971E79" w:rsidRDefault="00D55238" w:rsidP="000E7D9A">
      <w:pPr>
        <w:spacing w:line="480" w:lineRule="auto"/>
        <w:jc w:val="both"/>
      </w:pPr>
      <w:r w:rsidRPr="00D55238">
        <w:t>Government agencies react to transnational and domestic terrorism in different and predictable ways. Because of the military’s focus on external threat, especially in democracies, we hypothesize that the military</w:t>
      </w:r>
      <w:r w:rsidR="00971E79">
        <w:t>—especially in democracies—</w:t>
      </w:r>
      <w:r w:rsidRPr="00D55238">
        <w:t>will increase its use of torture in response to transnational terrorist attacks. The results of our es</w:t>
      </w:r>
      <w:r w:rsidR="008B73DA">
        <w:t xml:space="preserve">timations are </w:t>
      </w:r>
      <w:r w:rsidR="009271ED">
        <w:t>shown</w:t>
      </w:r>
      <w:r w:rsidR="008B73DA">
        <w:t xml:space="preserve"> in Tables 2</w:t>
      </w:r>
      <w:r w:rsidR="006E6134">
        <w:t xml:space="preserve">, </w:t>
      </w:r>
      <w:r w:rsidR="008B73DA">
        <w:t>3</w:t>
      </w:r>
      <w:r w:rsidR="006E6134">
        <w:t xml:space="preserve">, and </w:t>
      </w:r>
      <w:r w:rsidR="009271ED">
        <w:t>5</w:t>
      </w:r>
      <w:r w:rsidRPr="00D55238">
        <w:t xml:space="preserve">. We </w:t>
      </w:r>
      <w:r w:rsidR="007D5BF4">
        <w:t>present</w:t>
      </w:r>
      <w:r w:rsidRPr="00D55238">
        <w:t xml:space="preserve"> </w:t>
      </w:r>
      <w:r w:rsidR="007D5BF4">
        <w:t xml:space="preserve">our </w:t>
      </w:r>
      <w:r w:rsidRPr="00D55238">
        <w:t xml:space="preserve">key </w:t>
      </w:r>
      <w:r w:rsidR="007D5BF4">
        <w:t xml:space="preserve">substantive </w:t>
      </w:r>
      <w:r w:rsidRPr="00D55238">
        <w:t xml:space="preserve">findings </w:t>
      </w:r>
      <w:r w:rsidR="009271ED">
        <w:t>to test Hypothesis 1 in</w:t>
      </w:r>
      <w:r w:rsidRPr="00D55238">
        <w:t xml:space="preserve"> Table </w:t>
      </w:r>
      <w:r w:rsidR="008B73DA">
        <w:t xml:space="preserve">4. </w:t>
      </w:r>
    </w:p>
    <w:p w:rsidR="009271ED" w:rsidRDefault="009271ED">
      <w:pPr>
        <w:spacing w:line="480" w:lineRule="auto"/>
        <w:ind w:firstLine="720"/>
        <w:jc w:val="both"/>
      </w:pPr>
      <w:r>
        <w:t>Table 2</w:t>
      </w:r>
      <w:r w:rsidRPr="00D55238">
        <w:t xml:space="preserve"> presents the effects of terrorism on </w:t>
      </w:r>
      <w:r>
        <w:t>government</w:t>
      </w:r>
      <w:r w:rsidRPr="00D55238">
        <w:t xml:space="preserve"> torture using data from the CIRI human rights data collection project. Robust standard errors clustered on country are listed in parentheses.</w:t>
      </w:r>
      <w:r>
        <w:t xml:space="preserve"> </w:t>
      </w:r>
      <w:r w:rsidR="00D55238" w:rsidRPr="00D55238">
        <w:t>Consistent with previous research (</w:t>
      </w:r>
      <w:r w:rsidR="00971E79">
        <w:t xml:space="preserve">e.g., </w:t>
      </w:r>
      <w:r w:rsidR="00D55238" w:rsidRPr="00D55238">
        <w:t xml:space="preserve">Piazza and </w:t>
      </w:r>
      <w:r w:rsidR="00D55238" w:rsidRPr="00D55238">
        <w:lastRenderedPageBreak/>
        <w:t>Walsh 2009), none of the counts of terrorism—domestic only, transnational only or domestic and transnational combined—are significant predictors of government torture</w:t>
      </w:r>
      <w:r w:rsidR="00971E79">
        <w:t xml:space="preserve"> as measured by CIRI</w:t>
      </w:r>
      <w:r w:rsidR="00D55238" w:rsidRPr="00D55238">
        <w:t>.</w:t>
      </w:r>
      <w:r w:rsidR="00CE178D">
        <w:rPr>
          <w:rStyle w:val="FootnoteReference"/>
        </w:rPr>
        <w:footnoteReference w:id="21"/>
      </w:r>
      <w:r w:rsidR="00D55238" w:rsidRPr="00D55238">
        <w:t xml:space="preserve"> Several of the control variables in Tabl</w:t>
      </w:r>
      <w:r w:rsidR="008B73DA">
        <w:t>e 2</w:t>
      </w:r>
      <w:r w:rsidR="00D55238" w:rsidRPr="00D55238">
        <w:t xml:space="preserve"> are statistically significant and consistent with previous research. Wealthier states and democracies exhibit better protections against torture; domestic dissent</w:t>
      </w:r>
      <w:r w:rsidR="008B73DA">
        <w:t xml:space="preserve"> and civil</w:t>
      </w:r>
      <w:r w:rsidR="00D55238" w:rsidRPr="00D55238">
        <w:t xml:space="preserve"> wars tend to lead to worse torture climates.</w:t>
      </w:r>
      <w:r w:rsidR="003343A7">
        <w:rPr>
          <w:rStyle w:val="FootnoteReference"/>
        </w:rPr>
        <w:footnoteReference w:id="22"/>
      </w:r>
      <w:r w:rsidR="00D55238" w:rsidRPr="00D55238">
        <w:t xml:space="preserve"> Countries with large populations are also more likely to engage in torture.</w:t>
      </w:r>
      <w:r w:rsidR="0060258A">
        <w:t xml:space="preserve"> Signature of the CAT is associated with more torture, although the variable is significant at only the p&lt;</w:t>
      </w:r>
      <w:proofErr w:type="gramStart"/>
      <w:r w:rsidR="0060258A">
        <w:t>.10</w:t>
      </w:r>
      <w:proofErr w:type="gramEnd"/>
      <w:r w:rsidR="0060258A">
        <w:t xml:space="preserve"> level. </w:t>
      </w:r>
      <w:r w:rsidR="00D55238" w:rsidRPr="00D55238">
        <w:t xml:space="preserve"> As we have argued, however, we cannot test our hypotheses using the highly aggregated CIRI torture data; as a result, we now turn to the more disaggregated ITT measure of torture incidence </w:t>
      </w:r>
      <w:r w:rsidR="00971E79">
        <w:t xml:space="preserve">by military officials </w:t>
      </w:r>
      <w:r w:rsidR="00D55238" w:rsidRPr="00D55238">
        <w:t>to test our hypotheses about the effect of transnational and domestic terrorism on military torture.</w:t>
      </w:r>
    </w:p>
    <w:p w:rsidR="00D53E16" w:rsidRPr="009271ED" w:rsidRDefault="009271ED" w:rsidP="009271ED">
      <w:pPr>
        <w:spacing w:line="480" w:lineRule="auto"/>
        <w:jc w:val="center"/>
        <w:rPr>
          <w:color w:val="000000"/>
        </w:rPr>
      </w:pPr>
      <w:r>
        <w:rPr>
          <w:color w:val="000000"/>
        </w:rPr>
        <w:t>(Table 2</w:t>
      </w:r>
      <w:r w:rsidRPr="00D55238">
        <w:rPr>
          <w:color w:val="000000"/>
        </w:rPr>
        <w:t xml:space="preserve"> </w:t>
      </w:r>
      <w:r>
        <w:rPr>
          <w:color w:val="000000"/>
        </w:rPr>
        <w:t xml:space="preserve">about </w:t>
      </w:r>
      <w:r w:rsidRPr="00D55238">
        <w:rPr>
          <w:color w:val="000000"/>
        </w:rPr>
        <w:t>here)</w:t>
      </w:r>
    </w:p>
    <w:p w:rsidR="00A93D3D" w:rsidRDefault="00D55238" w:rsidP="0023035B">
      <w:pPr>
        <w:spacing w:line="480" w:lineRule="auto"/>
        <w:ind w:firstLine="720"/>
        <w:jc w:val="both"/>
      </w:pPr>
      <w:r w:rsidRPr="00D55238">
        <w:t xml:space="preserve">Table </w:t>
      </w:r>
      <w:r w:rsidR="008B73DA">
        <w:t>3</w:t>
      </w:r>
      <w:r w:rsidRPr="00D55238">
        <w:t xml:space="preserve"> shows the effect of terrorism on the level of torture by a state’s military. </w:t>
      </w:r>
      <w:r w:rsidR="00D849C3">
        <w:t>A</w:t>
      </w:r>
      <w:r w:rsidRPr="00D55238">
        <w:t>ll three types of terrorism are significant positive predictors of military torture. In short, both domestic and transnational terrorism increase the likelihood that a country’s military engages in higher levels of torture.</w:t>
      </w:r>
      <w:r w:rsidR="0023035B">
        <w:rPr>
          <w:rStyle w:val="FootnoteReference"/>
        </w:rPr>
        <w:footnoteReference w:id="23"/>
      </w:r>
      <w:r w:rsidRPr="00D55238">
        <w:t xml:space="preserve"> </w:t>
      </w:r>
      <w:r w:rsidR="00A93D3D">
        <w:t xml:space="preserve">These results provide preliminary support for our first hypothesis and stand in contrast to the results reported in Table 1 for torture across </w:t>
      </w:r>
      <w:r w:rsidR="00A93D3D">
        <w:lastRenderedPageBreak/>
        <w:t>agencies.</w:t>
      </w:r>
      <w:r w:rsidR="00133F30">
        <w:rPr>
          <w:rStyle w:val="FootnoteReference"/>
        </w:rPr>
        <w:footnoteReference w:id="24"/>
      </w:r>
      <w:r w:rsidR="00133F30">
        <w:t xml:space="preserve"> </w:t>
      </w:r>
      <w:r w:rsidR="00A93D3D">
        <w:t xml:space="preserve">Although the CIRI data has spurred a wealth of quantitative research on human rights practices, the torture measure is an ordered variable with only three categories; as a result, </w:t>
      </w:r>
      <w:r w:rsidR="002A1FD1">
        <w:t>it is perhaps unsurprising to see no relationship between terrorism and torture. D</w:t>
      </w:r>
      <w:r w:rsidR="00A93D3D">
        <w:t xml:space="preserve">isaggregating torture by </w:t>
      </w:r>
      <w:r w:rsidR="002A1FD1">
        <w:t xml:space="preserve">the </w:t>
      </w:r>
      <w:r w:rsidR="00A93D3D">
        <w:t xml:space="preserve">agency </w:t>
      </w:r>
      <w:r w:rsidR="002A1FD1">
        <w:t xml:space="preserve">responsible for violations </w:t>
      </w:r>
      <w:r w:rsidR="00A93D3D">
        <w:t xml:space="preserve">allows </w:t>
      </w:r>
      <w:r w:rsidR="002A1FD1">
        <w:t xml:space="preserve">for </w:t>
      </w:r>
      <w:r w:rsidR="00A93D3D">
        <w:t xml:space="preserve">a more precise look </w:t>
      </w:r>
      <w:r w:rsidR="002A1FD1">
        <w:t xml:space="preserve">at the relationship between terrorist attacks and human rights violations. </w:t>
      </w:r>
      <w:r w:rsidR="00133F30">
        <w:t xml:space="preserve">  </w:t>
      </w:r>
    </w:p>
    <w:p w:rsidR="009271ED" w:rsidRDefault="00D55238" w:rsidP="0023035B">
      <w:pPr>
        <w:spacing w:line="480" w:lineRule="auto"/>
        <w:ind w:firstLine="720"/>
        <w:jc w:val="both"/>
      </w:pPr>
      <w:r w:rsidRPr="00D55238">
        <w:t>Although there is a statistically significant relationship between domestic terrorism and military torture, its practical effect is rather limited, as is the effect of the aggregate measure of terrorism on military torture. Substantively, each additional domestic attack or aggregate attack in the GTD data increases the odds that a state’s military will move into a higher category of torture by only</w:t>
      </w:r>
      <w:r w:rsidR="004F3F7E">
        <w:t xml:space="preserve"> one percent</w:t>
      </w:r>
      <w:r w:rsidRPr="00D55238">
        <w:t xml:space="preserve">. By contrast, each transnational terrorist attack increases the odds that the military will move into a higher category by about </w:t>
      </w:r>
      <w:r w:rsidR="00342B72">
        <w:t>10</w:t>
      </w:r>
      <w:r w:rsidR="004F3F7E">
        <w:t xml:space="preserve"> percent</w:t>
      </w:r>
      <w:r w:rsidRPr="00D55238">
        <w:t xml:space="preserve">, offering support for our first hypothesis. </w:t>
      </w:r>
    </w:p>
    <w:p w:rsidR="009271ED" w:rsidRPr="009271ED" w:rsidRDefault="009271ED" w:rsidP="009271ED">
      <w:pPr>
        <w:spacing w:line="480" w:lineRule="auto"/>
        <w:jc w:val="center"/>
        <w:rPr>
          <w:color w:val="000000"/>
        </w:rPr>
      </w:pPr>
      <w:r>
        <w:t>(Table 3 about here)</w:t>
      </w:r>
    </w:p>
    <w:p w:rsidR="00D213BC" w:rsidRPr="00B72461" w:rsidRDefault="00D55238" w:rsidP="0023035B">
      <w:pPr>
        <w:spacing w:line="480" w:lineRule="auto"/>
        <w:ind w:firstLine="720"/>
        <w:jc w:val="both"/>
      </w:pPr>
      <w:r w:rsidRPr="00D55238">
        <w:t xml:space="preserve">Table </w:t>
      </w:r>
      <w:r w:rsidR="00342B72">
        <w:t>4</w:t>
      </w:r>
      <w:r w:rsidRPr="00D55238">
        <w:t xml:space="preserve"> shows the substantive effect of all three measures of terrorism on systemic military torture.</w:t>
      </w:r>
      <w:r w:rsidRPr="00D55238">
        <w:rPr>
          <w:rStyle w:val="FootnoteReference"/>
        </w:rPr>
        <w:footnoteReference w:id="25"/>
      </w:r>
      <w:r w:rsidRPr="00D55238">
        <w:t xml:space="preserve"> The table displays predicted probabilities from two scenarios: 1) when there are no terrorist attacks and 2) when there are 20 terrorist attacks.</w:t>
      </w:r>
      <w:r w:rsidRPr="00D55238">
        <w:rPr>
          <w:rStyle w:val="FootnoteReference"/>
        </w:rPr>
        <w:footnoteReference w:id="26"/>
      </w:r>
      <w:r w:rsidR="005C067C">
        <w:rPr>
          <w:rStyle w:val="FootnoteReference"/>
        </w:rPr>
        <w:footnoteReference w:id="27"/>
      </w:r>
      <w:r w:rsidRPr="00D55238">
        <w:t xml:space="preserve"> </w:t>
      </w:r>
      <w:proofErr w:type="gramStart"/>
      <w:r w:rsidRPr="00D55238">
        <w:t>Models using the GTD measures</w:t>
      </w:r>
      <w:proofErr w:type="gramEnd"/>
      <w:r w:rsidRPr="00D55238">
        <w:t xml:space="preserve"> of terrorism show that an increase from 0 to 20 attacks </w:t>
      </w:r>
      <w:r w:rsidRPr="00D55238">
        <w:lastRenderedPageBreak/>
        <w:t>increases the probability of systemic military torture by less than one percent</w:t>
      </w:r>
      <w:r w:rsidR="00F80CA9">
        <w:t>age point</w:t>
      </w:r>
      <w:r w:rsidRPr="00D55238">
        <w:t xml:space="preserve">.  By contrast, increasing the number of purely transnational attacks from 0 to 20 increases the probability of systemic military torture by nearly </w:t>
      </w:r>
      <w:r w:rsidR="00342B72">
        <w:t>21</w:t>
      </w:r>
      <w:r w:rsidRPr="00D55238">
        <w:t xml:space="preserve"> pe</w:t>
      </w:r>
      <w:r w:rsidR="00EC2DD9">
        <w:t>rcent</w:t>
      </w:r>
      <w:r w:rsidR="00F80CA9">
        <w:t>age points</w:t>
      </w:r>
      <w:r w:rsidR="00EC2DD9">
        <w:t xml:space="preserve">. Transnational terrorism </w:t>
      </w:r>
      <w:r w:rsidRPr="00D55238">
        <w:t>appears to be the only type of terrorism that strongly influences military torture.</w:t>
      </w:r>
      <w:r w:rsidR="004A0B59">
        <w:rPr>
          <w:rStyle w:val="FootnoteReference"/>
        </w:rPr>
        <w:footnoteReference w:id="28"/>
      </w:r>
      <w:r w:rsidRPr="00D55238">
        <w:t xml:space="preserve"> </w:t>
      </w:r>
    </w:p>
    <w:p w:rsidR="00626873" w:rsidRDefault="00D55238" w:rsidP="0018705A">
      <w:pPr>
        <w:spacing w:line="480" w:lineRule="auto"/>
        <w:ind w:firstLine="720"/>
        <w:jc w:val="both"/>
      </w:pPr>
      <w:r w:rsidRPr="00D55238">
        <w:t>In Figure 1, we further investigate these dynamics by plotting the predicted probabilities of military torture falling into each category of the ITT L</w:t>
      </w:r>
      <w:r w:rsidR="007D5BF4">
        <w:t xml:space="preserve">evel </w:t>
      </w:r>
      <w:r w:rsidRPr="00D55238">
        <w:t>o</w:t>
      </w:r>
      <w:r w:rsidR="007D5BF4">
        <w:t xml:space="preserve">f </w:t>
      </w:r>
      <w:r w:rsidRPr="00D55238">
        <w:t>T</w:t>
      </w:r>
      <w:r w:rsidR="007D5BF4">
        <w:t>orture</w:t>
      </w:r>
      <w:r w:rsidRPr="00D55238">
        <w:t xml:space="preserve"> measure as the number of transnational terrorist attacks increases from zero to 100.</w:t>
      </w:r>
      <w:r w:rsidR="002D3D31">
        <w:rPr>
          <w:rStyle w:val="FootnoteReference"/>
        </w:rPr>
        <w:footnoteReference w:id="29"/>
      </w:r>
      <w:r w:rsidRPr="00D55238">
        <w:t xml:space="preserve"> At low levels of terrorism, there is not much change across the categories. But beginning around 20 terrorist attacks, the picture begins to change dramatically. The probability of systemic torture starts on an upward trajectory, and by the time a state experiences 100 attacks, systemic military torture is a near certainty. Conversely, by the time 100 attacks occur, the probability of no military torture is practically nonexistent. This finding has important implications for states that have historically experienced high levels of transnational terrorism. Such states are much more likely to engage in systemic military torture than states experiencing milder levels of transnational terrorism.</w:t>
      </w:r>
    </w:p>
    <w:p w:rsidR="00626873" w:rsidRDefault="00D55238" w:rsidP="001B6677">
      <w:pPr>
        <w:spacing w:line="480" w:lineRule="auto"/>
        <w:jc w:val="center"/>
      </w:pPr>
      <w:r w:rsidRPr="00D55238">
        <w:t xml:space="preserve">(Figure 1 </w:t>
      </w:r>
      <w:r w:rsidR="00A83592">
        <w:t xml:space="preserve">about </w:t>
      </w:r>
      <w:r w:rsidRPr="00D55238">
        <w:t>here)</w:t>
      </w:r>
    </w:p>
    <w:p w:rsidR="009271ED" w:rsidRDefault="00D55238" w:rsidP="009271ED">
      <w:pPr>
        <w:spacing w:line="480" w:lineRule="auto"/>
        <w:ind w:firstLine="720"/>
        <w:jc w:val="both"/>
      </w:pPr>
      <w:r w:rsidRPr="00D55238">
        <w:t xml:space="preserve">To assess our </w:t>
      </w:r>
      <w:r w:rsidR="0056067F">
        <w:t>second</w:t>
      </w:r>
      <w:r w:rsidRPr="00D55238">
        <w:t xml:space="preserve"> hypothesis, we add a multiplicative interaction term to </w:t>
      </w:r>
      <w:r w:rsidR="009271ED">
        <w:t>our model specification, as shown in Table 5.</w:t>
      </w:r>
      <w:r w:rsidRPr="00D55238">
        <w:t xml:space="preserve"> This is the interaction of each country’s regime </w:t>
      </w:r>
      <w:r w:rsidRPr="00D55238">
        <w:lastRenderedPageBreak/>
        <w:t>type with the number of transnational terrorist incidents for a given year.</w:t>
      </w:r>
      <w:r w:rsidR="009271ED">
        <w:rPr>
          <w:rStyle w:val="FootnoteReference"/>
        </w:rPr>
        <w:footnoteReference w:id="30"/>
      </w:r>
      <w:r w:rsidRPr="00D55238">
        <w:t xml:space="preserve"> </w:t>
      </w:r>
      <w:r w:rsidR="009271ED">
        <w:t xml:space="preserve">Following </w:t>
      </w:r>
      <w:proofErr w:type="spellStart"/>
      <w:r w:rsidR="009271ED">
        <w:t>Brambor</w:t>
      </w:r>
      <w:proofErr w:type="spellEnd"/>
      <w:r w:rsidR="009271ED">
        <w:t xml:space="preserve"> et al. (200</w:t>
      </w:r>
      <w:r w:rsidR="00C11EEA">
        <w:t>6</w:t>
      </w:r>
      <w:r w:rsidR="009271ED">
        <w:t>), we also include the requisite constituent terms in our model.</w:t>
      </w:r>
    </w:p>
    <w:p w:rsidR="009271ED" w:rsidRDefault="009271ED" w:rsidP="009271ED">
      <w:pPr>
        <w:spacing w:line="480" w:lineRule="auto"/>
        <w:jc w:val="center"/>
      </w:pPr>
      <w:r w:rsidRPr="00D55238">
        <w:t xml:space="preserve">(Figure 1 </w:t>
      </w:r>
      <w:r>
        <w:t xml:space="preserve">about </w:t>
      </w:r>
      <w:r w:rsidRPr="00D55238">
        <w:t>here)</w:t>
      </w:r>
    </w:p>
    <w:p w:rsidR="00A83592" w:rsidRPr="00B72461" w:rsidRDefault="009271ED" w:rsidP="009271ED">
      <w:pPr>
        <w:spacing w:line="480" w:lineRule="auto"/>
        <w:ind w:firstLine="720"/>
        <w:jc w:val="both"/>
      </w:pPr>
      <w:r>
        <w:t xml:space="preserve">Because coefficient results from an ordered </w:t>
      </w:r>
      <w:proofErr w:type="spellStart"/>
      <w:r>
        <w:t>probit</w:t>
      </w:r>
      <w:proofErr w:type="spellEnd"/>
      <w:r>
        <w:t xml:space="preserve"> model can be misleading, we plot the marginal effect of terrorism on military torture</w:t>
      </w:r>
      <w:r w:rsidR="00342B72">
        <w:t xml:space="preserve"> in </w:t>
      </w:r>
      <w:r w:rsidR="00D55238" w:rsidRPr="00D55238">
        <w:t>Figure 2</w:t>
      </w:r>
      <w:r>
        <w:t>.</w:t>
      </w:r>
      <w:r w:rsidR="00342B72">
        <w:t xml:space="preserve"> The figure</w:t>
      </w:r>
      <w:r w:rsidR="00D55238" w:rsidRPr="00D55238">
        <w:t xml:space="preserve"> displays the marginal effect of an increase of twenty transnational terrorist attacks on systemic military torture at different levels of democracy.</w:t>
      </w:r>
      <w:r w:rsidR="00D55238" w:rsidRPr="00D55238">
        <w:rPr>
          <w:rStyle w:val="FootnoteReference"/>
        </w:rPr>
        <w:footnoteReference w:id="31"/>
      </w:r>
      <w:r w:rsidR="00D55238" w:rsidRPr="00D55238">
        <w:t xml:space="preserve"> Consistent with our expectations, increased transnational terror has no significant effect on systemic military torture among the most autocratic countries. Only past a Polity score of around 12 does increased terrorism begin to have a significant effect on systemic military torture.</w:t>
      </w:r>
      <w:r w:rsidR="00DD2268">
        <w:rPr>
          <w:rStyle w:val="FootnoteReference"/>
        </w:rPr>
        <w:footnoteReference w:id="32"/>
      </w:r>
      <w:r w:rsidR="00D55238" w:rsidRPr="00D55238">
        <w:t xml:space="preserve"> As predicted, the strongest relationship between transnational terrorism and systemic military torture is found in the most highly democratic countries.</w:t>
      </w:r>
      <w:r w:rsidR="00257DBC">
        <w:rPr>
          <w:rStyle w:val="FootnoteReference"/>
        </w:rPr>
        <w:footnoteReference w:id="33"/>
      </w:r>
      <w:r w:rsidR="00D55238" w:rsidRPr="00D55238">
        <w:t xml:space="preserve"> </w:t>
      </w:r>
      <w:r w:rsidR="006E3D03">
        <w:t>Further, although the effects of all independent variables remain consistent, information criterion indicates that the model with the interaction term is preferred to the earlier model with no interaction term.</w:t>
      </w:r>
    </w:p>
    <w:p w:rsidR="00626873" w:rsidRDefault="00D55238" w:rsidP="00EC2DD9">
      <w:pPr>
        <w:spacing w:line="480" w:lineRule="auto"/>
        <w:jc w:val="center"/>
      </w:pPr>
      <w:r w:rsidRPr="00D55238">
        <w:t xml:space="preserve">(Figure 2 </w:t>
      </w:r>
      <w:r w:rsidR="00A83592">
        <w:t xml:space="preserve">about </w:t>
      </w:r>
      <w:r w:rsidRPr="00D55238">
        <w:t>here)</w:t>
      </w:r>
    </w:p>
    <w:p w:rsidR="00ED2456" w:rsidRDefault="00795FCE" w:rsidP="00732272">
      <w:pPr>
        <w:spacing w:line="480" w:lineRule="auto"/>
      </w:pPr>
      <w:r>
        <w:t xml:space="preserve">Finally, if the causal mechanism behind our second hypothesis is correct, then the effect of domestic terrorism on military torture should not vary with the level of democracy.  </w:t>
      </w:r>
      <w:r>
        <w:lastRenderedPageBreak/>
        <w:t>Specifically, if the greater observed effect in democracies is occurring because of citizens’ willingness to use torture against foreigners, then domestic terrorism should not have the same influence on military torture in democracies.  Figure 3 depicts the marginal effect of an increase of twenty domestic attacks on systemic torture.  The results suggest that the effect is always indistinguishable from 0, adding further support for our contention that transnational terror, in particular, is likely to lead to greater levels of military torture.</w:t>
      </w:r>
    </w:p>
    <w:p w:rsidR="00795FCE" w:rsidRPr="00B72461" w:rsidRDefault="00795FCE" w:rsidP="00795FCE">
      <w:pPr>
        <w:spacing w:line="480" w:lineRule="auto"/>
        <w:jc w:val="center"/>
      </w:pPr>
      <w:r>
        <w:t>(Figure 3 about here)</w:t>
      </w:r>
    </w:p>
    <w:p w:rsidR="00CD00FE" w:rsidRPr="00B72461" w:rsidRDefault="00CD00FE" w:rsidP="00EC2DD9">
      <w:pPr>
        <w:spacing w:line="480" w:lineRule="auto"/>
        <w:ind w:firstLine="720"/>
      </w:pPr>
    </w:p>
    <w:p w:rsidR="00626873" w:rsidRPr="00B72461" w:rsidRDefault="00D55238">
      <w:pPr>
        <w:spacing w:line="480" w:lineRule="auto"/>
        <w:rPr>
          <w:b/>
          <w:bCs/>
        </w:rPr>
      </w:pPr>
      <w:r w:rsidRPr="00D55238">
        <w:rPr>
          <w:b/>
          <w:bCs/>
        </w:rPr>
        <w:t>Conclusions and Implications</w:t>
      </w:r>
    </w:p>
    <w:p w:rsidR="002767B7" w:rsidRDefault="00D55238" w:rsidP="00EC2DD9">
      <w:pPr>
        <w:spacing w:line="480" w:lineRule="auto"/>
        <w:jc w:val="both"/>
      </w:pPr>
      <w:r w:rsidRPr="00D55238">
        <w:t xml:space="preserve">Although authorities face strong incentives to engage in torture after being attacked by terrorists, existing research has failed to find </w:t>
      </w:r>
      <w:r w:rsidR="002306F9">
        <w:t>quantitative</w:t>
      </w:r>
      <w:r w:rsidR="002306F9" w:rsidRPr="00D55238">
        <w:t xml:space="preserve"> </w:t>
      </w:r>
      <w:r w:rsidRPr="00D55238">
        <w:t>evidence of a</w:t>
      </w:r>
      <w:r w:rsidR="002F6424">
        <w:t xml:space="preserve"> robust</w:t>
      </w:r>
      <w:r w:rsidRPr="00D55238">
        <w:t xml:space="preserve"> relationship between terror</w:t>
      </w:r>
      <w:r w:rsidR="002F6424">
        <w:t>ist attacks</w:t>
      </w:r>
      <w:r w:rsidRPr="00D55238">
        <w:t xml:space="preserve"> and </w:t>
      </w:r>
      <w:r w:rsidR="002F6424">
        <w:t xml:space="preserve">government </w:t>
      </w:r>
      <w:r w:rsidRPr="00D55238">
        <w:t xml:space="preserve">torture. We address these mixed findings by developing a more nuanced argument about the government agencies most likely to </w:t>
      </w:r>
      <w:r w:rsidR="002F6424">
        <w:t xml:space="preserve">engage in </w:t>
      </w:r>
      <w:r w:rsidRPr="00D55238">
        <w:t xml:space="preserve">torture in response to different types of terrorism. By focusing on the incentives of </w:t>
      </w:r>
      <w:r w:rsidR="002F6424">
        <w:t>heterogeneous</w:t>
      </w:r>
      <w:r w:rsidRPr="00D55238">
        <w:t xml:space="preserve"> </w:t>
      </w:r>
      <w:r w:rsidR="002F6424">
        <w:t xml:space="preserve">government </w:t>
      </w:r>
      <w:r w:rsidRPr="00D55238">
        <w:t>agencies to torture, we argue that military forces engage in heightened torture in response to transnational terrorism</w:t>
      </w:r>
      <w:r w:rsidR="002F6424">
        <w:t>, but not domestic attacks</w:t>
      </w:r>
      <w:r w:rsidRPr="00D55238">
        <w:t xml:space="preserve">. It is perhaps unsurprising that earlier studies find no consistent link between terrorism and torture; the effect appears to be confined to military torture following transnational attacks. </w:t>
      </w:r>
      <w:r w:rsidR="006404D6">
        <w:t>T</w:t>
      </w:r>
      <w:r w:rsidRPr="00D55238">
        <w:t xml:space="preserve">his empirical relationship was </w:t>
      </w:r>
      <w:r w:rsidR="002306F9">
        <w:t xml:space="preserve">likely </w:t>
      </w:r>
      <w:r w:rsidRPr="00D55238">
        <w:t>masked by the highly aggregated measures of torture and terrorism used in earlier work.</w:t>
      </w:r>
    </w:p>
    <w:p w:rsidR="00EA1B8B" w:rsidRPr="00B72461" w:rsidRDefault="00D55238" w:rsidP="00EA1B8B">
      <w:pPr>
        <w:spacing w:line="480" w:lineRule="auto"/>
        <w:ind w:firstLine="720"/>
        <w:jc w:val="both"/>
      </w:pPr>
      <w:r w:rsidRPr="00D55238">
        <w:t xml:space="preserve">This paper has at least two limitations that could be addressed in future research. The first </w:t>
      </w:r>
      <w:r w:rsidR="002F6424">
        <w:t>concerns</w:t>
      </w:r>
      <w:r w:rsidRPr="00D55238">
        <w:t xml:space="preserve"> </w:t>
      </w:r>
      <w:proofErr w:type="spellStart"/>
      <w:r w:rsidRPr="00D55238">
        <w:t>endogeneity</w:t>
      </w:r>
      <w:proofErr w:type="spellEnd"/>
      <w:r w:rsidRPr="00D55238">
        <w:t xml:space="preserve">. We investigated the extent to which terrorism influences </w:t>
      </w:r>
      <w:r w:rsidRPr="00D55238">
        <w:lastRenderedPageBreak/>
        <w:t xml:space="preserve">torture practices by different government agencies. It is possible that causality could run in </w:t>
      </w:r>
      <w:r w:rsidR="00955162">
        <w:t>the other direction, with state-</w:t>
      </w:r>
      <w:r w:rsidRPr="00D55238">
        <w:t>sanctioned torture producing more terrorism (</w:t>
      </w:r>
      <w:proofErr w:type="spellStart"/>
      <w:r w:rsidRPr="00D55238">
        <w:t>Hafner</w:t>
      </w:r>
      <w:proofErr w:type="spellEnd"/>
      <w:r w:rsidRPr="00D55238">
        <w:t>-Burton and Shapiro 2010</w:t>
      </w:r>
      <w:r w:rsidR="002F6424">
        <w:t>,</w:t>
      </w:r>
      <w:r w:rsidRPr="00D55238">
        <w:t xml:space="preserve"> Piazza and Walsh 2010). </w:t>
      </w:r>
      <w:r w:rsidR="002306F9">
        <w:t>W</w:t>
      </w:r>
      <w:r w:rsidRPr="00D55238">
        <w:t xml:space="preserve">e encourage additional theorizing about why, for example, military torture may produce transnational terrorism. Second, our theory is based on the assumption that militaries </w:t>
      </w:r>
      <w:r w:rsidR="002306F9">
        <w:t xml:space="preserve">are </w:t>
      </w:r>
      <w:r w:rsidRPr="00D55238">
        <w:t xml:space="preserve">primarily </w:t>
      </w:r>
      <w:r w:rsidR="002306F9">
        <w:t>concerned</w:t>
      </w:r>
      <w:r w:rsidR="002306F9" w:rsidRPr="00D55238">
        <w:t xml:space="preserve"> </w:t>
      </w:r>
      <w:r w:rsidRPr="00D55238">
        <w:t xml:space="preserve">threats from foreign states rather than from terrorist groups. Future investigation of the effect of transnational terrorism on military torture would benefit from more nuanced theory and </w:t>
      </w:r>
      <w:r w:rsidR="002F6424">
        <w:t>data</w:t>
      </w:r>
      <w:r w:rsidRPr="00D55238">
        <w:t xml:space="preserve"> to capture how the goals and priorities of national military forces vary across time and space. </w:t>
      </w:r>
    </w:p>
    <w:p w:rsidR="009271ED" w:rsidRDefault="00D55238" w:rsidP="00A83592">
      <w:pPr>
        <w:spacing w:line="480" w:lineRule="auto"/>
        <w:ind w:firstLine="720"/>
        <w:jc w:val="both"/>
      </w:pPr>
      <w:r w:rsidRPr="00D55238">
        <w:t xml:space="preserve">Our results have implications for states, international organizations, and non-government organizations that wish to end </w:t>
      </w:r>
      <w:r w:rsidR="00AD3488">
        <w:t xml:space="preserve">the practice of government </w:t>
      </w:r>
      <w:r w:rsidRPr="00D55238">
        <w:t xml:space="preserve">torture. </w:t>
      </w:r>
      <w:r w:rsidR="009271ED">
        <w:t>I</w:t>
      </w:r>
      <w:r w:rsidRPr="00D55238">
        <w:t>n contrast to Piazza and Walsh (2009), our</w:t>
      </w:r>
      <w:r w:rsidR="002306F9">
        <w:t xml:space="preserve"> empirical</w:t>
      </w:r>
      <w:r w:rsidRPr="00D55238">
        <w:t xml:space="preserve"> </w:t>
      </w:r>
      <w:r w:rsidR="002306F9">
        <w:t>findings</w:t>
      </w:r>
      <w:r w:rsidR="002306F9" w:rsidRPr="00D55238">
        <w:t xml:space="preserve"> </w:t>
      </w:r>
      <w:r w:rsidRPr="00D55238">
        <w:t xml:space="preserve">suggest that opponents of torture need to </w:t>
      </w:r>
      <w:r w:rsidR="00AD3488">
        <w:t>be concerned that</w:t>
      </w:r>
      <w:r w:rsidRPr="00D55238">
        <w:t xml:space="preserve"> terrorism </w:t>
      </w:r>
      <w:r w:rsidR="00AD3488">
        <w:t xml:space="preserve">can </w:t>
      </w:r>
      <w:r w:rsidRPr="00D55238">
        <w:t>increase</w:t>
      </w:r>
      <w:r w:rsidR="00AD3488">
        <w:t xml:space="preserve"> government</w:t>
      </w:r>
      <w:r w:rsidRPr="00D55238">
        <w:t xml:space="preserve"> human rights abuse. Concerns about terrorism resulting in increased state torture—including Amnesty International’s “Counter Terror with Justice” campaign—are not misplaced. </w:t>
      </w:r>
    </w:p>
    <w:p w:rsidR="00AD3488" w:rsidRDefault="00AD3488">
      <w:pPr>
        <w:rPr>
          <w:b/>
          <w:bCs/>
        </w:rPr>
      </w:pPr>
      <w:r>
        <w:rPr>
          <w:b/>
          <w:bCs/>
        </w:rPr>
        <w:br w:type="page"/>
      </w:r>
    </w:p>
    <w:p w:rsidR="00705544" w:rsidRPr="00B72461" w:rsidRDefault="00D55238" w:rsidP="008F1573">
      <w:pPr>
        <w:spacing w:line="480" w:lineRule="auto"/>
        <w:rPr>
          <w:b/>
          <w:bCs/>
        </w:rPr>
      </w:pPr>
      <w:r w:rsidRPr="00D55238">
        <w:rPr>
          <w:b/>
          <w:bCs/>
        </w:rPr>
        <w:lastRenderedPageBreak/>
        <w:t>Bibliography</w:t>
      </w:r>
    </w:p>
    <w:p w:rsidR="00705544" w:rsidRDefault="00720FB7" w:rsidP="000B7695">
      <w:pPr>
        <w:spacing w:line="480" w:lineRule="auto"/>
        <w:ind w:left="720" w:hanging="720"/>
        <w:rPr>
          <w:color w:val="000000" w:themeColor="text1"/>
        </w:rPr>
      </w:pPr>
      <w:proofErr w:type="spellStart"/>
      <w:r w:rsidRPr="00B72461">
        <w:rPr>
          <w:color w:val="000000" w:themeColor="text1"/>
        </w:rPr>
        <w:t>Abrahms</w:t>
      </w:r>
      <w:proofErr w:type="spellEnd"/>
      <w:r w:rsidRPr="00B72461">
        <w:rPr>
          <w:color w:val="000000" w:themeColor="text1"/>
        </w:rPr>
        <w:t xml:space="preserve">, Max. 2006. Why Terrorism Does Not Work. </w:t>
      </w:r>
      <w:proofErr w:type="gramStart"/>
      <w:r w:rsidRPr="00B72461">
        <w:rPr>
          <w:i/>
          <w:color w:val="000000" w:themeColor="text1"/>
        </w:rPr>
        <w:t>International Security</w:t>
      </w:r>
      <w:r w:rsidRPr="00B72461">
        <w:rPr>
          <w:color w:val="000000" w:themeColor="text1"/>
        </w:rPr>
        <w:t xml:space="preserve"> 31.</w:t>
      </w:r>
      <w:proofErr w:type="gramEnd"/>
    </w:p>
    <w:p w:rsidR="00883285" w:rsidRPr="00883285" w:rsidRDefault="00EB43C7" w:rsidP="000B7695">
      <w:pPr>
        <w:spacing w:line="480" w:lineRule="auto"/>
        <w:ind w:left="720" w:hanging="720"/>
        <w:rPr>
          <w:color w:val="000000" w:themeColor="text1"/>
        </w:rPr>
      </w:pPr>
      <w:r w:rsidRPr="00EB43C7">
        <w:rPr>
          <w:color w:val="222222"/>
          <w:shd w:val="clear" w:color="auto" w:fill="FFFFFF"/>
        </w:rPr>
        <w:t xml:space="preserve">Art, Robert J., and Louise Richardson, </w:t>
      </w:r>
      <w:proofErr w:type="gramStart"/>
      <w:r w:rsidRPr="00EB43C7">
        <w:rPr>
          <w:color w:val="222222"/>
          <w:shd w:val="clear" w:color="auto" w:fill="FFFFFF"/>
        </w:rPr>
        <w:t>eds</w:t>
      </w:r>
      <w:proofErr w:type="gramEnd"/>
      <w:r w:rsidRPr="00EB43C7">
        <w:rPr>
          <w:color w:val="222222"/>
          <w:shd w:val="clear" w:color="auto" w:fill="FFFFFF"/>
        </w:rPr>
        <w:t>.</w:t>
      </w:r>
      <w:r w:rsidRPr="00EB43C7">
        <w:rPr>
          <w:rStyle w:val="apple-converted-space"/>
          <w:color w:val="222222"/>
          <w:shd w:val="clear" w:color="auto" w:fill="FFFFFF"/>
        </w:rPr>
        <w:t xml:space="preserve"> 2007. </w:t>
      </w:r>
      <w:proofErr w:type="gramStart"/>
      <w:r w:rsidRPr="00EB43C7">
        <w:rPr>
          <w:i/>
          <w:iCs/>
          <w:color w:val="222222"/>
          <w:shd w:val="clear" w:color="auto" w:fill="FFFFFF"/>
        </w:rPr>
        <w:t>Democracy</w:t>
      </w:r>
      <w:proofErr w:type="gramEnd"/>
      <w:r w:rsidRPr="00EB43C7">
        <w:rPr>
          <w:i/>
          <w:iCs/>
          <w:color w:val="222222"/>
          <w:shd w:val="clear" w:color="auto" w:fill="FFFFFF"/>
        </w:rPr>
        <w:t xml:space="preserve"> and Counterterrorism: Lessons from the Past</w:t>
      </w:r>
      <w:r w:rsidRPr="00EB43C7">
        <w:rPr>
          <w:color w:val="222222"/>
          <w:shd w:val="clear" w:color="auto" w:fill="FFFFFF"/>
        </w:rPr>
        <w:t>. US Institute of Peace Press.</w:t>
      </w:r>
    </w:p>
    <w:p w:rsidR="009241D2" w:rsidRPr="00B72461" w:rsidRDefault="00720FB7" w:rsidP="000B7695">
      <w:pPr>
        <w:spacing w:line="480" w:lineRule="auto"/>
        <w:ind w:left="720" w:hanging="720"/>
        <w:rPr>
          <w:color w:val="000000" w:themeColor="text1"/>
        </w:rPr>
      </w:pPr>
      <w:proofErr w:type="spellStart"/>
      <w:r w:rsidRPr="00B72461">
        <w:rPr>
          <w:rStyle w:val="apple-style-span"/>
          <w:color w:val="000000" w:themeColor="text1"/>
        </w:rPr>
        <w:t>Asal</w:t>
      </w:r>
      <w:proofErr w:type="spellEnd"/>
      <w:r w:rsidRPr="00B72461">
        <w:rPr>
          <w:rStyle w:val="apple-style-span"/>
          <w:color w:val="000000" w:themeColor="text1"/>
        </w:rPr>
        <w:t xml:space="preserve">, Victor H. and R. Karl </w:t>
      </w:r>
      <w:proofErr w:type="spellStart"/>
      <w:r w:rsidRPr="00B72461">
        <w:rPr>
          <w:rStyle w:val="apple-style-span"/>
          <w:color w:val="000000" w:themeColor="text1"/>
        </w:rPr>
        <w:t>Rethemeyer</w:t>
      </w:r>
      <w:proofErr w:type="spellEnd"/>
      <w:r w:rsidRPr="00B72461">
        <w:rPr>
          <w:rStyle w:val="apple-style-span"/>
          <w:color w:val="000000" w:themeColor="text1"/>
        </w:rPr>
        <w:t>. 2008. The Nature of the Beast: Terrorist Organizational Characteristics and Organizational Lethality.</w:t>
      </w:r>
      <w:r w:rsidRPr="00B72461">
        <w:rPr>
          <w:rStyle w:val="apple-converted-space"/>
          <w:color w:val="000000" w:themeColor="text1"/>
        </w:rPr>
        <w:t> </w:t>
      </w:r>
      <w:r w:rsidRPr="00B72461">
        <w:rPr>
          <w:rStyle w:val="Emphasis"/>
          <w:color w:val="000000" w:themeColor="text1"/>
        </w:rPr>
        <w:t xml:space="preserve">Journal of Politics </w:t>
      </w:r>
      <w:r w:rsidRPr="00B72461">
        <w:rPr>
          <w:rStyle w:val="Emphasis"/>
          <w:i w:val="0"/>
          <w:color w:val="000000" w:themeColor="text1"/>
        </w:rPr>
        <w:t>70</w:t>
      </w:r>
      <w:r w:rsidRPr="00B72461">
        <w:rPr>
          <w:rStyle w:val="apple-style-span"/>
          <w:color w:val="000000" w:themeColor="text1"/>
        </w:rPr>
        <w:t>(2): 437-449.</w:t>
      </w:r>
    </w:p>
    <w:p w:rsidR="002F696F" w:rsidRPr="00B72461" w:rsidRDefault="00720FB7" w:rsidP="000B7695">
      <w:pPr>
        <w:spacing w:line="480" w:lineRule="auto"/>
        <w:ind w:left="720" w:hanging="720"/>
        <w:rPr>
          <w:color w:val="000000" w:themeColor="text1"/>
        </w:rPr>
      </w:pPr>
      <w:proofErr w:type="spellStart"/>
      <w:r w:rsidRPr="00B72461">
        <w:rPr>
          <w:rStyle w:val="Emphasis"/>
          <w:bCs/>
          <w:i w:val="0"/>
          <w:iCs w:val="0"/>
          <w:color w:val="000000" w:themeColor="text1"/>
          <w:shd w:val="clear" w:color="auto" w:fill="FFFFFF"/>
        </w:rPr>
        <w:t>Avenanti</w:t>
      </w:r>
      <w:proofErr w:type="spellEnd"/>
      <w:r w:rsidRPr="00B72461">
        <w:rPr>
          <w:rStyle w:val="apple-converted-space"/>
          <w:color w:val="000000" w:themeColor="text1"/>
          <w:shd w:val="clear" w:color="auto" w:fill="FFFFFF"/>
        </w:rPr>
        <w:t> </w:t>
      </w:r>
      <w:r w:rsidRPr="00B72461">
        <w:rPr>
          <w:rStyle w:val="apple-style-span"/>
          <w:color w:val="000000" w:themeColor="text1"/>
          <w:shd w:val="clear" w:color="auto" w:fill="FFFFFF"/>
        </w:rPr>
        <w:t>A,</w:t>
      </w:r>
      <w:r w:rsidRPr="00B72461">
        <w:rPr>
          <w:rStyle w:val="apple-converted-space"/>
          <w:color w:val="000000" w:themeColor="text1"/>
          <w:shd w:val="clear" w:color="auto" w:fill="FFFFFF"/>
        </w:rPr>
        <w:t> </w:t>
      </w:r>
      <w:proofErr w:type="spellStart"/>
      <w:r w:rsidRPr="00B72461">
        <w:rPr>
          <w:rStyle w:val="Emphasis"/>
          <w:bCs/>
          <w:i w:val="0"/>
          <w:iCs w:val="0"/>
          <w:color w:val="000000" w:themeColor="text1"/>
          <w:shd w:val="clear" w:color="auto" w:fill="FFFFFF"/>
        </w:rPr>
        <w:t>Sirigu</w:t>
      </w:r>
      <w:proofErr w:type="spellEnd"/>
      <w:r w:rsidRPr="00B72461">
        <w:rPr>
          <w:rStyle w:val="apple-converted-space"/>
          <w:color w:val="000000" w:themeColor="text1"/>
          <w:shd w:val="clear" w:color="auto" w:fill="FFFFFF"/>
        </w:rPr>
        <w:t> </w:t>
      </w:r>
      <w:r w:rsidRPr="00B72461">
        <w:rPr>
          <w:rStyle w:val="apple-style-span"/>
          <w:color w:val="000000" w:themeColor="text1"/>
          <w:shd w:val="clear" w:color="auto" w:fill="FFFFFF"/>
        </w:rPr>
        <w:t>A,</w:t>
      </w:r>
      <w:r w:rsidRPr="00B72461">
        <w:rPr>
          <w:rStyle w:val="apple-converted-space"/>
          <w:color w:val="000000" w:themeColor="text1"/>
          <w:shd w:val="clear" w:color="auto" w:fill="FFFFFF"/>
        </w:rPr>
        <w:t> </w:t>
      </w:r>
      <w:proofErr w:type="spellStart"/>
      <w:r w:rsidRPr="00B72461">
        <w:rPr>
          <w:rStyle w:val="Emphasis"/>
          <w:bCs/>
          <w:i w:val="0"/>
          <w:iCs w:val="0"/>
          <w:color w:val="000000" w:themeColor="text1"/>
          <w:shd w:val="clear" w:color="auto" w:fill="FFFFFF"/>
        </w:rPr>
        <w:t>Aglioti</w:t>
      </w:r>
      <w:proofErr w:type="spellEnd"/>
      <w:r w:rsidRPr="00B72461">
        <w:rPr>
          <w:rStyle w:val="apple-converted-space"/>
          <w:color w:val="000000" w:themeColor="text1"/>
          <w:shd w:val="clear" w:color="auto" w:fill="FFFFFF"/>
        </w:rPr>
        <w:t> </w:t>
      </w:r>
      <w:r w:rsidRPr="00B72461">
        <w:rPr>
          <w:rStyle w:val="apple-style-span"/>
          <w:color w:val="000000" w:themeColor="text1"/>
          <w:shd w:val="clear" w:color="auto" w:fill="FFFFFF"/>
        </w:rPr>
        <w:t xml:space="preserve">SM. 2010. Racial bias reduces empathic sensorimotor resonance with other-race pain. </w:t>
      </w:r>
      <w:r w:rsidRPr="00B72461">
        <w:rPr>
          <w:rStyle w:val="apple-style-span"/>
          <w:i/>
          <w:color w:val="000000" w:themeColor="text1"/>
          <w:shd w:val="clear" w:color="auto" w:fill="FFFFFF"/>
        </w:rPr>
        <w:t>Current Biology</w:t>
      </w:r>
      <w:r w:rsidRPr="00B72461">
        <w:rPr>
          <w:rStyle w:val="apple-converted-space"/>
          <w:color w:val="000000" w:themeColor="text1"/>
          <w:shd w:val="clear" w:color="auto" w:fill="FFFFFF"/>
        </w:rPr>
        <w:t> </w:t>
      </w:r>
      <w:r w:rsidR="00665402">
        <w:rPr>
          <w:rStyle w:val="apple-style-span"/>
          <w:color w:val="000000" w:themeColor="text1"/>
          <w:shd w:val="clear" w:color="auto" w:fill="FFFFFF"/>
        </w:rPr>
        <w:t>20 (11)</w:t>
      </w:r>
      <w:proofErr w:type="gramStart"/>
      <w:r w:rsidR="00665402">
        <w:rPr>
          <w:rStyle w:val="apple-style-span"/>
          <w:color w:val="000000" w:themeColor="text1"/>
          <w:shd w:val="clear" w:color="auto" w:fill="FFFFFF"/>
        </w:rPr>
        <w:t>:1018</w:t>
      </w:r>
      <w:proofErr w:type="gramEnd"/>
      <w:r w:rsidR="00665402">
        <w:rPr>
          <w:rStyle w:val="apple-style-span"/>
          <w:color w:val="000000" w:themeColor="text1"/>
          <w:shd w:val="clear" w:color="auto" w:fill="FFFFFF"/>
        </w:rPr>
        <w:t>-22.</w:t>
      </w:r>
    </w:p>
    <w:p w:rsidR="00FD22D2" w:rsidRPr="00B72461" w:rsidRDefault="00665402" w:rsidP="000B7695">
      <w:pPr>
        <w:spacing w:line="480" w:lineRule="auto"/>
        <w:ind w:left="720" w:hanging="720"/>
        <w:rPr>
          <w:color w:val="000000" w:themeColor="text1"/>
        </w:rPr>
      </w:pPr>
      <w:proofErr w:type="spellStart"/>
      <w:r>
        <w:rPr>
          <w:color w:val="000000" w:themeColor="text1"/>
        </w:rPr>
        <w:t>Bayley</w:t>
      </w:r>
      <w:proofErr w:type="spellEnd"/>
      <w:r>
        <w:rPr>
          <w:color w:val="000000" w:themeColor="text1"/>
        </w:rPr>
        <w:t xml:space="preserve">, David, and James </w:t>
      </w:r>
      <w:proofErr w:type="spellStart"/>
      <w:r>
        <w:rPr>
          <w:color w:val="000000" w:themeColor="text1"/>
        </w:rPr>
        <w:t>Garofalo</w:t>
      </w:r>
      <w:proofErr w:type="spellEnd"/>
      <w:r>
        <w:rPr>
          <w:color w:val="000000" w:themeColor="text1"/>
        </w:rPr>
        <w:t xml:space="preserve">. 1989. The management of violence by police patrol officers. </w:t>
      </w:r>
      <w:proofErr w:type="gramStart"/>
      <w:r>
        <w:rPr>
          <w:i/>
          <w:color w:val="000000" w:themeColor="text1"/>
        </w:rPr>
        <w:t>Criminology</w:t>
      </w:r>
      <w:r>
        <w:rPr>
          <w:color w:val="000000" w:themeColor="text1"/>
        </w:rPr>
        <w:t xml:space="preserve"> 27, 1-26.</w:t>
      </w:r>
      <w:proofErr w:type="gramEnd"/>
      <w:r>
        <w:rPr>
          <w:color w:val="000000" w:themeColor="text1"/>
        </w:rPr>
        <w:t xml:space="preserve"> </w:t>
      </w:r>
    </w:p>
    <w:p w:rsidR="00720FB7" w:rsidRPr="00B72461" w:rsidRDefault="00665402" w:rsidP="00720FB7">
      <w:pPr>
        <w:spacing w:line="480" w:lineRule="auto"/>
        <w:ind w:left="720" w:hanging="720"/>
        <w:rPr>
          <w:color w:val="000000" w:themeColor="text1"/>
        </w:rPr>
      </w:pPr>
      <w:r>
        <w:rPr>
          <w:color w:val="000000" w:themeColor="text1"/>
        </w:rPr>
        <w:t xml:space="preserve">Banks, Arthur.  (2002) </w:t>
      </w:r>
      <w:r>
        <w:rPr>
          <w:i/>
          <w:color w:val="000000" w:themeColor="text1"/>
        </w:rPr>
        <w:t>Cross-National Time Series Data Archive, 1815–1999</w:t>
      </w:r>
      <w:r>
        <w:rPr>
          <w:color w:val="000000" w:themeColor="text1"/>
        </w:rPr>
        <w:t>.  Binghamton, NY: Banner Software, Inc.</w:t>
      </w:r>
    </w:p>
    <w:p w:rsidR="00ED2456" w:rsidRDefault="00665402" w:rsidP="00732272">
      <w:pPr>
        <w:spacing w:line="480" w:lineRule="auto"/>
        <w:ind w:left="720" w:hanging="720"/>
        <w:rPr>
          <w:rStyle w:val="apple-style-span"/>
        </w:rPr>
      </w:pPr>
      <w:proofErr w:type="spellStart"/>
      <w:r>
        <w:rPr>
          <w:rStyle w:val="Emphasis"/>
          <w:bCs/>
          <w:i w:val="0"/>
          <w:iCs w:val="0"/>
          <w:color w:val="000000" w:themeColor="text1"/>
          <w:shd w:val="clear" w:color="auto" w:fill="FFFFFF"/>
        </w:rPr>
        <w:t>Berrebi</w:t>
      </w:r>
      <w:proofErr w:type="spellEnd"/>
      <w:r>
        <w:rPr>
          <w:rStyle w:val="apple-converted-space"/>
          <w:color w:val="000000" w:themeColor="text1"/>
          <w:shd w:val="clear" w:color="auto" w:fill="FFFFFF"/>
        </w:rPr>
        <w:t xml:space="preserve">, Claude, </w:t>
      </w:r>
      <w:r>
        <w:rPr>
          <w:rStyle w:val="apple-style-span"/>
          <w:color w:val="000000" w:themeColor="text1"/>
          <w:shd w:val="clear" w:color="auto" w:fill="FFFFFF"/>
        </w:rPr>
        <w:t xml:space="preserve">and </w:t>
      </w:r>
      <w:r w:rsidRPr="00E810F9">
        <w:rPr>
          <w:rStyle w:val="apple-style-span"/>
          <w:color w:val="000000" w:themeColor="text1"/>
          <w:shd w:val="clear" w:color="auto" w:fill="FFFFFF"/>
        </w:rPr>
        <w:t>Esteban F.</w:t>
      </w:r>
      <w:r w:rsidRPr="00E810F9">
        <w:rPr>
          <w:rStyle w:val="apple-converted-space"/>
          <w:color w:val="000000" w:themeColor="text1"/>
          <w:shd w:val="clear" w:color="auto" w:fill="FFFFFF"/>
        </w:rPr>
        <w:t> </w:t>
      </w:r>
      <w:proofErr w:type="spellStart"/>
      <w:r w:rsidRPr="00E810F9">
        <w:rPr>
          <w:rStyle w:val="Emphasis"/>
          <w:bCs/>
          <w:i w:val="0"/>
          <w:iCs w:val="0"/>
          <w:color w:val="000000" w:themeColor="text1"/>
          <w:shd w:val="clear" w:color="auto" w:fill="FFFFFF"/>
        </w:rPr>
        <w:t>Klor</w:t>
      </w:r>
      <w:proofErr w:type="spellEnd"/>
      <w:r w:rsidRPr="00E810F9">
        <w:rPr>
          <w:rStyle w:val="Emphasis"/>
          <w:bCs/>
          <w:i w:val="0"/>
          <w:iCs w:val="0"/>
          <w:color w:val="000000" w:themeColor="text1"/>
          <w:shd w:val="clear" w:color="auto" w:fill="FFFFFF"/>
        </w:rPr>
        <w:t>.</w:t>
      </w:r>
      <w:r w:rsidRPr="00E00828">
        <w:rPr>
          <w:rStyle w:val="apple-style-span"/>
          <w:color w:val="000000" w:themeColor="text1"/>
          <w:shd w:val="clear" w:color="auto" w:fill="FFFFFF"/>
        </w:rPr>
        <w:t xml:space="preserve"> 2008. Are</w:t>
      </w:r>
      <w:r w:rsidRPr="00DB7ECD">
        <w:rPr>
          <w:rStyle w:val="apple-converted-space"/>
          <w:color w:val="000000" w:themeColor="text1"/>
          <w:shd w:val="clear" w:color="auto" w:fill="FFFFFF"/>
        </w:rPr>
        <w:t> </w:t>
      </w:r>
      <w:r w:rsidRPr="000D0A9D">
        <w:rPr>
          <w:rStyle w:val="Emphasis"/>
          <w:bCs/>
          <w:i w:val="0"/>
          <w:iCs w:val="0"/>
          <w:color w:val="000000" w:themeColor="text1"/>
          <w:shd w:val="clear" w:color="auto" w:fill="FFFFFF"/>
        </w:rPr>
        <w:t>Voters Sensitive to Terrorism</w:t>
      </w:r>
      <w:r w:rsidRPr="00CA7412">
        <w:rPr>
          <w:rStyle w:val="apple-style-span"/>
          <w:color w:val="000000" w:themeColor="text1"/>
          <w:shd w:val="clear" w:color="auto" w:fill="FFFFFF"/>
        </w:rPr>
        <w:t xml:space="preserve">?" </w:t>
      </w:r>
      <w:proofErr w:type="gramStart"/>
      <w:r w:rsidRPr="00CA7412">
        <w:rPr>
          <w:rStyle w:val="apple-style-span"/>
          <w:i/>
          <w:color w:val="000000" w:themeColor="text1"/>
          <w:shd w:val="clear" w:color="auto" w:fill="FFFFFF"/>
        </w:rPr>
        <w:t>American Political Science Review</w:t>
      </w:r>
      <w:r w:rsidRPr="005654A2">
        <w:rPr>
          <w:rStyle w:val="apple-style-span"/>
          <w:color w:val="000000" w:themeColor="text1"/>
          <w:shd w:val="clear" w:color="auto" w:fill="FFFFFF"/>
        </w:rPr>
        <w:t xml:space="preserve"> 102.</w:t>
      </w:r>
      <w:proofErr w:type="gramEnd"/>
    </w:p>
    <w:p w:rsidR="00ED2456" w:rsidRPr="00732272" w:rsidRDefault="00BB7CA6" w:rsidP="00732272">
      <w:pPr>
        <w:spacing w:line="480" w:lineRule="auto"/>
        <w:ind w:left="720" w:hanging="720"/>
        <w:rPr>
          <w:color w:val="000000" w:themeColor="text1"/>
          <w:shd w:val="clear" w:color="auto" w:fill="FFFFFF"/>
        </w:rPr>
      </w:pPr>
      <w:proofErr w:type="spellStart"/>
      <w:r w:rsidRPr="00732272">
        <w:t>Bollen</w:t>
      </w:r>
      <w:proofErr w:type="spellEnd"/>
      <w:r w:rsidRPr="00732272">
        <w:t>, Kenneth A. 1986. Political rights and political liberties in nations: An evaluation</w:t>
      </w:r>
    </w:p>
    <w:p w:rsidR="00ED2456" w:rsidRDefault="00BB7CA6" w:rsidP="00732272">
      <w:pPr>
        <w:spacing w:line="480" w:lineRule="auto"/>
        <w:ind w:left="720"/>
        <w:rPr>
          <w:rStyle w:val="apple-style-span"/>
        </w:rPr>
      </w:pPr>
      <w:proofErr w:type="gramStart"/>
      <w:r w:rsidRPr="00732272">
        <w:t>of</w:t>
      </w:r>
      <w:proofErr w:type="gramEnd"/>
      <w:r w:rsidRPr="00732272">
        <w:t xml:space="preserve"> human rights measures, 1950 to 1984.” Human Rights Quarterly 8(4): 567–591.</w:t>
      </w:r>
    </w:p>
    <w:p w:rsidR="00193DF8" w:rsidRPr="00B72461" w:rsidRDefault="00665402" w:rsidP="00705544">
      <w:pPr>
        <w:spacing w:line="480" w:lineRule="auto"/>
        <w:ind w:left="720" w:hanging="720"/>
        <w:rPr>
          <w:rStyle w:val="apple-style-span"/>
        </w:rPr>
      </w:pPr>
      <w:proofErr w:type="spellStart"/>
      <w:r w:rsidRPr="00E810F9">
        <w:rPr>
          <w:rStyle w:val="apple-style-span"/>
          <w:color w:val="000000" w:themeColor="text1"/>
        </w:rPr>
        <w:t>Brambor</w:t>
      </w:r>
      <w:proofErr w:type="spellEnd"/>
      <w:r w:rsidRPr="00E810F9">
        <w:rPr>
          <w:rStyle w:val="apple-style-span"/>
          <w:color w:val="000000" w:themeColor="text1"/>
        </w:rPr>
        <w:t xml:space="preserve">, Thomas, William Clark and Matt </w:t>
      </w:r>
      <w:proofErr w:type="spellStart"/>
      <w:r w:rsidRPr="00E810F9">
        <w:rPr>
          <w:rStyle w:val="apple-style-span"/>
          <w:color w:val="000000" w:themeColor="text1"/>
        </w:rPr>
        <w:t>Golder</w:t>
      </w:r>
      <w:proofErr w:type="spellEnd"/>
      <w:r w:rsidRPr="00E810F9">
        <w:rPr>
          <w:rStyle w:val="apple-style-span"/>
          <w:color w:val="000000" w:themeColor="text1"/>
        </w:rPr>
        <w:t>. 2006.</w:t>
      </w:r>
      <w:r w:rsidRPr="00E00828">
        <w:rPr>
          <w:rStyle w:val="apple-converted-space"/>
          <w:color w:val="000000" w:themeColor="text1"/>
        </w:rPr>
        <w:t> </w:t>
      </w:r>
      <w:hyperlink r:id="rId9" w:history="1">
        <w:r w:rsidRPr="00E810F9">
          <w:rPr>
            <w:rStyle w:val="Hyperlink"/>
            <w:bCs/>
            <w:color w:val="000000" w:themeColor="text1"/>
            <w:u w:val="none"/>
          </w:rPr>
          <w:t>"Understanding Interaction Models: Improving Empirical Analyses.</w:t>
        </w:r>
      </w:hyperlink>
      <w:r>
        <w:rPr>
          <w:rStyle w:val="apple-style-span"/>
          <w:color w:val="000000" w:themeColor="text1"/>
        </w:rPr>
        <w:t> </w:t>
      </w:r>
      <w:proofErr w:type="gramStart"/>
      <w:r>
        <w:rPr>
          <w:rStyle w:val="Emphasis"/>
          <w:color w:val="000000" w:themeColor="text1"/>
        </w:rPr>
        <w:t>Political Analysis</w:t>
      </w:r>
      <w:r>
        <w:rPr>
          <w:rStyle w:val="apple-converted-space"/>
          <w:color w:val="000000" w:themeColor="text1"/>
        </w:rPr>
        <w:t> </w:t>
      </w:r>
      <w:r>
        <w:rPr>
          <w:rStyle w:val="apple-style-span"/>
          <w:color w:val="000000" w:themeColor="text1"/>
        </w:rPr>
        <w:t>14:1, 63-82.</w:t>
      </w:r>
      <w:proofErr w:type="gramEnd"/>
    </w:p>
    <w:p w:rsidR="00705544" w:rsidRDefault="00665402" w:rsidP="00705544">
      <w:pPr>
        <w:spacing w:line="480" w:lineRule="auto"/>
        <w:ind w:left="720" w:hanging="720"/>
        <w:rPr>
          <w:rStyle w:val="apple-style-span"/>
        </w:rPr>
      </w:pPr>
      <w:proofErr w:type="spellStart"/>
      <w:r>
        <w:rPr>
          <w:color w:val="000000" w:themeColor="text1"/>
        </w:rPr>
        <w:t>Bueno</w:t>
      </w:r>
      <w:proofErr w:type="spellEnd"/>
      <w:r>
        <w:rPr>
          <w:color w:val="000000" w:themeColor="text1"/>
        </w:rPr>
        <w:t xml:space="preserve"> de </w:t>
      </w:r>
      <w:proofErr w:type="spellStart"/>
      <w:r>
        <w:rPr>
          <w:color w:val="000000" w:themeColor="text1"/>
        </w:rPr>
        <w:t>Mesquita</w:t>
      </w:r>
      <w:proofErr w:type="spellEnd"/>
      <w:r>
        <w:rPr>
          <w:color w:val="000000" w:themeColor="text1"/>
        </w:rPr>
        <w:t xml:space="preserve">, Ethan. 2005. </w:t>
      </w:r>
      <w:hyperlink r:id="rId10" w:history="1">
        <w:r>
          <w:rPr>
            <w:rStyle w:val="Hyperlink"/>
            <w:color w:val="000000" w:themeColor="text1"/>
            <w:u w:val="none"/>
          </w:rPr>
          <w:t>Conciliation, Counterterrorism, and Patterns of Terrorist Violence</w:t>
        </w:r>
        <w:r>
          <w:rPr>
            <w:rStyle w:val="Hyperlink"/>
            <w:color w:val="000000" w:themeColor="text1"/>
          </w:rPr>
          <w:t>.</w:t>
        </w:r>
      </w:hyperlink>
      <w:r>
        <w:rPr>
          <w:rStyle w:val="apple-style-span"/>
          <w:color w:val="000000" w:themeColor="text1"/>
        </w:rPr>
        <w:t xml:space="preserve"> </w:t>
      </w:r>
      <w:r>
        <w:rPr>
          <w:rStyle w:val="apple-style-span"/>
          <w:i/>
          <w:iCs/>
          <w:color w:val="000000" w:themeColor="text1"/>
        </w:rPr>
        <w:t>International Organization</w:t>
      </w:r>
      <w:r>
        <w:rPr>
          <w:rStyle w:val="apple-converted-space"/>
          <w:color w:val="000000" w:themeColor="text1"/>
        </w:rPr>
        <w:t> </w:t>
      </w:r>
      <w:r>
        <w:rPr>
          <w:rStyle w:val="apple-style-span"/>
          <w:color w:val="000000" w:themeColor="text1"/>
        </w:rPr>
        <w:t>59(1)</w:t>
      </w:r>
      <w:proofErr w:type="gramStart"/>
      <w:r>
        <w:rPr>
          <w:rStyle w:val="apple-style-span"/>
          <w:color w:val="000000" w:themeColor="text1"/>
        </w:rPr>
        <w:t>:145</w:t>
      </w:r>
      <w:proofErr w:type="gramEnd"/>
      <w:r>
        <w:rPr>
          <w:rStyle w:val="apple-style-span"/>
          <w:color w:val="000000" w:themeColor="text1"/>
        </w:rPr>
        <w:t>-176.</w:t>
      </w:r>
    </w:p>
    <w:p w:rsidR="00EF1C9D" w:rsidRPr="00EF1C9D" w:rsidRDefault="00EF1C9D" w:rsidP="00705544">
      <w:pPr>
        <w:spacing w:line="480" w:lineRule="auto"/>
        <w:ind w:left="720" w:hanging="720"/>
        <w:rPr>
          <w:color w:val="000000" w:themeColor="text1"/>
        </w:rPr>
      </w:pPr>
      <w:r>
        <w:rPr>
          <w:rStyle w:val="apple-style-span"/>
          <w:color w:val="000000" w:themeColor="text1"/>
        </w:rPr>
        <w:lastRenderedPageBreak/>
        <w:t xml:space="preserve">Cassidy, Robert, ed. 2006. </w:t>
      </w:r>
      <w:r>
        <w:rPr>
          <w:rStyle w:val="apple-style-span"/>
          <w:i/>
          <w:color w:val="000000" w:themeColor="text1"/>
        </w:rPr>
        <w:t xml:space="preserve">Counterinsurgency and the Global War on Terror: Military Culture and Irregular War. </w:t>
      </w:r>
      <w:r>
        <w:rPr>
          <w:rStyle w:val="apple-style-span"/>
          <w:color w:val="000000" w:themeColor="text1"/>
        </w:rPr>
        <w:t xml:space="preserve">Westport: </w:t>
      </w:r>
      <w:proofErr w:type="spellStart"/>
      <w:r>
        <w:rPr>
          <w:rStyle w:val="apple-style-span"/>
          <w:color w:val="000000" w:themeColor="text1"/>
        </w:rPr>
        <w:t>Praeger</w:t>
      </w:r>
      <w:proofErr w:type="spellEnd"/>
      <w:r>
        <w:rPr>
          <w:rStyle w:val="apple-style-span"/>
          <w:color w:val="000000" w:themeColor="text1"/>
        </w:rPr>
        <w:t>.</w:t>
      </w:r>
    </w:p>
    <w:p w:rsidR="00705544" w:rsidRPr="000D0A9D" w:rsidRDefault="00665402" w:rsidP="00705544">
      <w:pPr>
        <w:spacing w:line="480" w:lineRule="auto"/>
        <w:ind w:left="720" w:hanging="720"/>
        <w:rPr>
          <w:color w:val="000000" w:themeColor="text1"/>
        </w:rPr>
      </w:pPr>
      <w:proofErr w:type="gramStart"/>
      <w:r>
        <w:rPr>
          <w:color w:val="000000" w:themeColor="text1"/>
        </w:rPr>
        <w:t>Charters, David A.</w:t>
      </w:r>
      <w:proofErr w:type="gramEnd"/>
      <w:r>
        <w:rPr>
          <w:color w:val="000000" w:themeColor="text1"/>
        </w:rPr>
        <w:t xml:space="preserve">  1994.  “Conclusions: Security and Liberty in Balance—Countering Terrorism in the Democratic Context.”  In </w:t>
      </w:r>
      <w:r>
        <w:rPr>
          <w:i/>
          <w:iCs/>
          <w:color w:val="000000" w:themeColor="text1"/>
        </w:rPr>
        <w:t xml:space="preserve">The Deadly Sin of Terrorism: Its Effect on Democracy and Civil </w:t>
      </w:r>
      <w:r w:rsidRPr="00E810F9">
        <w:rPr>
          <w:i/>
          <w:iCs/>
          <w:color w:val="000000" w:themeColor="text1"/>
        </w:rPr>
        <w:t>Liberty in Six Countries</w:t>
      </w:r>
      <w:r w:rsidRPr="00E00828">
        <w:rPr>
          <w:color w:val="000000" w:themeColor="text1"/>
        </w:rPr>
        <w:t>, ed. David A. Charters.  Westport, CT: Greenwood, 211-225.</w:t>
      </w:r>
    </w:p>
    <w:p w:rsidR="00ED2456" w:rsidRDefault="00665402" w:rsidP="00732272">
      <w:pPr>
        <w:spacing w:line="480" w:lineRule="auto"/>
        <w:ind w:left="720" w:hanging="720"/>
        <w:rPr>
          <w:color w:val="000000" w:themeColor="text1"/>
        </w:rPr>
      </w:pPr>
      <w:proofErr w:type="spellStart"/>
      <w:proofErr w:type="gramStart"/>
      <w:r w:rsidRPr="00CA7412">
        <w:rPr>
          <w:color w:val="000000" w:themeColor="text1"/>
        </w:rPr>
        <w:t>Cingranelli</w:t>
      </w:r>
      <w:proofErr w:type="spellEnd"/>
      <w:r w:rsidRPr="00CA7412">
        <w:rPr>
          <w:color w:val="000000" w:themeColor="text1"/>
        </w:rPr>
        <w:t>, David L, and David L. Richards.</w:t>
      </w:r>
      <w:proofErr w:type="gramEnd"/>
      <w:r w:rsidRPr="00CA7412">
        <w:rPr>
          <w:color w:val="000000" w:themeColor="text1"/>
        </w:rPr>
        <w:t xml:space="preserve">  2004. </w:t>
      </w:r>
      <w:r w:rsidRPr="00CA7412">
        <w:rPr>
          <w:i/>
          <w:iCs/>
          <w:color w:val="000000" w:themeColor="text1"/>
        </w:rPr>
        <w:t xml:space="preserve">The </w:t>
      </w:r>
      <w:proofErr w:type="spellStart"/>
      <w:r w:rsidRPr="00CA7412">
        <w:rPr>
          <w:i/>
          <w:iCs/>
          <w:color w:val="000000" w:themeColor="text1"/>
        </w:rPr>
        <w:t>Cingranelli</w:t>
      </w:r>
      <w:proofErr w:type="spellEnd"/>
      <w:r w:rsidRPr="00CA7412">
        <w:rPr>
          <w:i/>
          <w:iCs/>
          <w:color w:val="000000" w:themeColor="text1"/>
        </w:rPr>
        <w:t>-Richard</w:t>
      </w:r>
      <w:r w:rsidRPr="005654A2">
        <w:rPr>
          <w:i/>
          <w:iCs/>
          <w:color w:val="000000" w:themeColor="text1"/>
        </w:rPr>
        <w:t>s (CIRI) Human Rights Dataset</w:t>
      </w:r>
      <w:r w:rsidRPr="0007708A">
        <w:rPr>
          <w:color w:val="000000" w:themeColor="text1"/>
        </w:rPr>
        <w:t xml:space="preserve">. </w:t>
      </w:r>
      <w:proofErr w:type="gramStart"/>
      <w:r w:rsidRPr="0007708A">
        <w:rPr>
          <w:color w:val="000000" w:themeColor="text1"/>
        </w:rPr>
        <w:t xml:space="preserve">Available at </w:t>
      </w:r>
      <w:hyperlink r:id="rId11" w:history="1">
        <w:r w:rsidRPr="00E00828">
          <w:rPr>
            <w:rStyle w:val="Hyperlink"/>
            <w:color w:val="000000" w:themeColor="text1"/>
          </w:rPr>
          <w:t>http://www.humanrightsdata.org</w:t>
        </w:r>
      </w:hyperlink>
      <w:r w:rsidR="00D55238" w:rsidRPr="00E810F9">
        <w:rPr>
          <w:color w:val="000000" w:themeColor="text1"/>
        </w:rPr>
        <w:t>.</w:t>
      </w:r>
      <w:proofErr w:type="gramEnd"/>
    </w:p>
    <w:p w:rsidR="007B22EB" w:rsidRPr="00CA7412" w:rsidRDefault="00D55238" w:rsidP="00705544">
      <w:pPr>
        <w:spacing w:line="480" w:lineRule="auto"/>
        <w:ind w:left="720" w:hanging="720"/>
        <w:rPr>
          <w:color w:val="000000" w:themeColor="text1"/>
        </w:rPr>
      </w:pPr>
      <w:proofErr w:type="spellStart"/>
      <w:r w:rsidRPr="00E00828">
        <w:rPr>
          <w:color w:val="000000" w:themeColor="text1"/>
        </w:rPr>
        <w:t>Cingranelli</w:t>
      </w:r>
      <w:proofErr w:type="spellEnd"/>
      <w:r w:rsidRPr="00E00828">
        <w:rPr>
          <w:color w:val="000000" w:themeColor="text1"/>
        </w:rPr>
        <w:t xml:space="preserve">, David, and Mikhail </w:t>
      </w:r>
      <w:proofErr w:type="spellStart"/>
      <w:r w:rsidRPr="00E00828">
        <w:rPr>
          <w:color w:val="000000" w:themeColor="text1"/>
        </w:rPr>
        <w:t>Filippov</w:t>
      </w:r>
      <w:proofErr w:type="spellEnd"/>
      <w:r w:rsidRPr="00E00828">
        <w:rPr>
          <w:color w:val="000000" w:themeColor="text1"/>
        </w:rPr>
        <w:t xml:space="preserve">. 2010. Electoral Rules and Incentives to Protect Human Rights. </w:t>
      </w:r>
      <w:proofErr w:type="gramStart"/>
      <w:r w:rsidRPr="000D0A9D">
        <w:rPr>
          <w:i/>
          <w:color w:val="000000" w:themeColor="text1"/>
        </w:rPr>
        <w:t>Journal of Politics</w:t>
      </w:r>
      <w:r w:rsidRPr="00CA7412">
        <w:rPr>
          <w:color w:val="000000" w:themeColor="text1"/>
        </w:rPr>
        <w:t xml:space="preserve"> 72.</w:t>
      </w:r>
      <w:proofErr w:type="gramEnd"/>
      <w:r w:rsidRPr="00CA7412">
        <w:rPr>
          <w:color w:val="000000" w:themeColor="text1"/>
        </w:rPr>
        <w:t xml:space="preserve"> </w:t>
      </w:r>
    </w:p>
    <w:p w:rsidR="00705544" w:rsidRPr="00B72461" w:rsidRDefault="00D55238" w:rsidP="00705544">
      <w:pPr>
        <w:spacing w:line="480" w:lineRule="auto"/>
        <w:ind w:left="720" w:hanging="720"/>
        <w:rPr>
          <w:color w:val="000000" w:themeColor="text1"/>
        </w:rPr>
      </w:pPr>
      <w:r w:rsidRPr="005654A2">
        <w:rPr>
          <w:color w:val="000000" w:themeColor="text1"/>
        </w:rPr>
        <w:t>Conrad, Courtenay R. and Will H. Moore. 201</w:t>
      </w:r>
      <w:r w:rsidRPr="0007708A">
        <w:rPr>
          <w:color w:val="000000" w:themeColor="text1"/>
        </w:rPr>
        <w:t>1a. “The Ill-Treatme</w:t>
      </w:r>
      <w:r w:rsidRPr="00675F43">
        <w:rPr>
          <w:color w:val="000000" w:themeColor="text1"/>
        </w:rPr>
        <w:t>nt</w:t>
      </w:r>
      <w:r w:rsidRPr="00D55238">
        <w:rPr>
          <w:color w:val="000000" w:themeColor="text1"/>
        </w:rPr>
        <w:t xml:space="preserve"> and Torture (ITT) Data Project.” Available at: </w:t>
      </w:r>
      <w:hyperlink r:id="rId12" w:history="1">
        <w:r w:rsidR="00665402">
          <w:rPr>
            <w:rStyle w:val="Hyperlink"/>
            <w:color w:val="000000" w:themeColor="text1"/>
          </w:rPr>
          <w:t>http://faculty.ucmerced.edu/cconrad2/Academic/ITT_Data_Collection.html</w:t>
        </w:r>
      </w:hyperlink>
      <w:r w:rsidRPr="00D55238">
        <w:rPr>
          <w:color w:val="000000" w:themeColor="text1"/>
        </w:rPr>
        <w:t>.</w:t>
      </w:r>
    </w:p>
    <w:p w:rsidR="00705544" w:rsidRPr="00B72461" w:rsidRDefault="00D55238" w:rsidP="00705544">
      <w:pPr>
        <w:spacing w:line="480" w:lineRule="auto"/>
        <w:ind w:left="720" w:hanging="720"/>
        <w:rPr>
          <w:color w:val="000000" w:themeColor="text1"/>
        </w:rPr>
      </w:pPr>
      <w:r w:rsidRPr="00D55238">
        <w:rPr>
          <w:color w:val="000000" w:themeColor="text1"/>
        </w:rPr>
        <w:t>Conrad, Courtenay R. and Will H. Moore. 2011b. “The Ill-Treatment &amp; Torture (ITT) Data Project (Be</w:t>
      </w:r>
      <w:r w:rsidR="00E810F9">
        <w:rPr>
          <w:color w:val="000000" w:themeColor="text1"/>
        </w:rPr>
        <w:t>ta</w:t>
      </w:r>
      <w:r w:rsidRPr="00D55238">
        <w:rPr>
          <w:color w:val="000000" w:themeColor="text1"/>
        </w:rPr>
        <w:t xml:space="preserve">) Country-Year User’s Guide.” Merced and Tallahassee: Ill-Treatment and Torture Data Project. Available at: Available at: </w:t>
      </w:r>
      <w:hyperlink r:id="rId13" w:history="1">
        <w:r w:rsidR="00665402">
          <w:rPr>
            <w:rStyle w:val="Hyperlink"/>
            <w:color w:val="000000" w:themeColor="text1"/>
          </w:rPr>
          <w:t>http://faculty.ucmerced.edu/cconrad2/Academic/Data</w:t>
        </w:r>
      </w:hyperlink>
    </w:p>
    <w:p w:rsidR="005C52C5" w:rsidRPr="00B72461" w:rsidRDefault="00D55238" w:rsidP="00705544">
      <w:pPr>
        <w:spacing w:line="480" w:lineRule="auto"/>
        <w:ind w:left="720" w:hanging="720"/>
        <w:rPr>
          <w:color w:val="000000" w:themeColor="text1"/>
        </w:rPr>
      </w:pPr>
      <w:r w:rsidRPr="00D55238">
        <w:rPr>
          <w:color w:val="000000" w:themeColor="text1"/>
        </w:rPr>
        <w:t xml:space="preserve">Conrad, Justin. 2011. Interstate Rivalry and Terrorism: An </w:t>
      </w:r>
      <w:proofErr w:type="spellStart"/>
      <w:r w:rsidRPr="00D55238">
        <w:rPr>
          <w:color w:val="000000" w:themeColor="text1"/>
        </w:rPr>
        <w:t>Unprobed</w:t>
      </w:r>
      <w:proofErr w:type="spellEnd"/>
      <w:r w:rsidRPr="00D55238">
        <w:rPr>
          <w:color w:val="000000" w:themeColor="text1"/>
        </w:rPr>
        <w:t xml:space="preserve"> Link. </w:t>
      </w:r>
      <w:r w:rsidRPr="00D55238">
        <w:rPr>
          <w:i/>
          <w:iCs/>
          <w:color w:val="000000" w:themeColor="text1"/>
        </w:rPr>
        <w:t>Journal of Conflict Resolution</w:t>
      </w:r>
      <w:r w:rsidRPr="00D55238">
        <w:rPr>
          <w:color w:val="000000" w:themeColor="text1"/>
        </w:rPr>
        <w:t xml:space="preserve"> 55(4): 529-555.</w:t>
      </w:r>
    </w:p>
    <w:p w:rsidR="00705544" w:rsidRPr="00B72461" w:rsidRDefault="00665402" w:rsidP="00705544">
      <w:pPr>
        <w:spacing w:line="480" w:lineRule="auto"/>
        <w:ind w:left="720" w:hanging="720"/>
        <w:rPr>
          <w:rStyle w:val="apple-style-span"/>
        </w:rPr>
      </w:pPr>
      <w:proofErr w:type="gramStart"/>
      <w:r>
        <w:rPr>
          <w:rStyle w:val="Emphasis"/>
          <w:bCs/>
          <w:i w:val="0"/>
          <w:iCs w:val="0"/>
          <w:color w:val="000000" w:themeColor="text1"/>
          <w:shd w:val="clear" w:color="auto" w:fill="FFFFFF"/>
        </w:rPr>
        <w:t>Crenshaw</w:t>
      </w:r>
      <w:r>
        <w:rPr>
          <w:rStyle w:val="apple-style-span"/>
          <w:color w:val="000000" w:themeColor="text1"/>
          <w:shd w:val="clear" w:color="auto" w:fill="FFFFFF"/>
        </w:rPr>
        <w:t>,</w:t>
      </w:r>
      <w:r>
        <w:rPr>
          <w:rStyle w:val="apple-converted-space"/>
          <w:color w:val="000000" w:themeColor="text1"/>
          <w:shd w:val="clear" w:color="auto" w:fill="FFFFFF"/>
        </w:rPr>
        <w:t> </w:t>
      </w:r>
      <w:r>
        <w:rPr>
          <w:rStyle w:val="Emphasis"/>
          <w:bCs/>
          <w:i w:val="0"/>
          <w:iCs w:val="0"/>
          <w:color w:val="000000" w:themeColor="text1"/>
          <w:shd w:val="clear" w:color="auto" w:fill="FFFFFF"/>
        </w:rPr>
        <w:t>Martha</w:t>
      </w:r>
      <w:r>
        <w:rPr>
          <w:rStyle w:val="apple-style-span"/>
          <w:color w:val="000000" w:themeColor="text1"/>
          <w:shd w:val="clear" w:color="auto" w:fill="FFFFFF"/>
        </w:rPr>
        <w:t>.</w:t>
      </w:r>
      <w:proofErr w:type="gramEnd"/>
      <w:r>
        <w:rPr>
          <w:rStyle w:val="apple-converted-space"/>
          <w:color w:val="000000" w:themeColor="text1"/>
          <w:shd w:val="clear" w:color="auto" w:fill="FFFFFF"/>
        </w:rPr>
        <w:t> </w:t>
      </w:r>
      <w:r>
        <w:rPr>
          <w:rStyle w:val="Emphasis"/>
          <w:bCs/>
          <w:i w:val="0"/>
          <w:iCs w:val="0"/>
          <w:color w:val="000000" w:themeColor="text1"/>
          <w:shd w:val="clear" w:color="auto" w:fill="FFFFFF"/>
        </w:rPr>
        <w:t>1998</w:t>
      </w:r>
      <w:r>
        <w:rPr>
          <w:rStyle w:val="apple-style-span"/>
          <w:color w:val="000000" w:themeColor="text1"/>
          <w:shd w:val="clear" w:color="auto" w:fill="FFFFFF"/>
        </w:rPr>
        <w:t xml:space="preserve">. The Logic of Terrorism: Terrorist Behavior as a Product of Choice. </w:t>
      </w:r>
      <w:proofErr w:type="gramStart"/>
      <w:r>
        <w:rPr>
          <w:rStyle w:val="apple-style-span"/>
          <w:i/>
          <w:color w:val="000000" w:themeColor="text1"/>
          <w:shd w:val="clear" w:color="auto" w:fill="FFFFFF"/>
        </w:rPr>
        <w:t>Terrorism and Counter Terrorism</w:t>
      </w:r>
      <w:r>
        <w:rPr>
          <w:rStyle w:val="apple-style-span"/>
          <w:color w:val="000000" w:themeColor="text1"/>
          <w:shd w:val="clear" w:color="auto" w:fill="FFFFFF"/>
        </w:rPr>
        <w:t xml:space="preserve"> 2(1): 54-64.</w:t>
      </w:r>
      <w:proofErr w:type="gramEnd"/>
    </w:p>
    <w:p w:rsidR="005A7C09" w:rsidRPr="00B72461" w:rsidRDefault="00665402" w:rsidP="00705544">
      <w:pPr>
        <w:spacing w:line="480" w:lineRule="auto"/>
        <w:ind w:left="720" w:hanging="720"/>
        <w:rPr>
          <w:color w:val="000000" w:themeColor="text1"/>
        </w:rPr>
      </w:pPr>
      <w:r>
        <w:rPr>
          <w:rStyle w:val="apple-style-span"/>
          <w:color w:val="000000" w:themeColor="text1"/>
          <w:shd w:val="clear" w:color="auto" w:fill="FFFFFF"/>
        </w:rPr>
        <w:t xml:space="preserve">Danner, Mark.  2009.  “U.S. Torture: Voices From Black Sites.”  </w:t>
      </w:r>
      <w:proofErr w:type="gramStart"/>
      <w:r>
        <w:rPr>
          <w:rStyle w:val="apple-style-span"/>
          <w:i/>
          <w:color w:val="000000" w:themeColor="text1"/>
          <w:shd w:val="clear" w:color="auto" w:fill="FFFFFF"/>
        </w:rPr>
        <w:t>New York Review of Books</w:t>
      </w:r>
      <w:r>
        <w:rPr>
          <w:rStyle w:val="apple-style-span"/>
          <w:color w:val="000000" w:themeColor="text1"/>
          <w:shd w:val="clear" w:color="auto" w:fill="FFFFFF"/>
        </w:rPr>
        <w:t>.</w:t>
      </w:r>
      <w:proofErr w:type="gramEnd"/>
      <w:r>
        <w:rPr>
          <w:rStyle w:val="apple-style-span"/>
          <w:color w:val="000000" w:themeColor="text1"/>
          <w:shd w:val="clear" w:color="auto" w:fill="FFFFFF"/>
        </w:rPr>
        <w:t xml:space="preserve">  56(6): 76.</w:t>
      </w:r>
    </w:p>
    <w:p w:rsidR="00803101" w:rsidRPr="00B72461" w:rsidRDefault="00665402" w:rsidP="00705544">
      <w:pPr>
        <w:spacing w:line="480" w:lineRule="auto"/>
        <w:ind w:left="720" w:hanging="720"/>
        <w:rPr>
          <w:color w:val="000000" w:themeColor="text1"/>
        </w:rPr>
      </w:pPr>
      <w:r>
        <w:rPr>
          <w:color w:val="000000" w:themeColor="text1"/>
        </w:rPr>
        <w:lastRenderedPageBreak/>
        <w:t xml:space="preserve">Danner, Mark. 2004. </w:t>
      </w:r>
      <w:proofErr w:type="gramStart"/>
      <w:r>
        <w:rPr>
          <w:i/>
          <w:color w:val="000000" w:themeColor="text1"/>
        </w:rPr>
        <w:t>Torture</w:t>
      </w:r>
      <w:proofErr w:type="gramEnd"/>
      <w:r>
        <w:rPr>
          <w:i/>
          <w:color w:val="000000" w:themeColor="text1"/>
        </w:rPr>
        <w:t xml:space="preserve"> and Truth. </w:t>
      </w:r>
      <w:proofErr w:type="gramStart"/>
      <w:r>
        <w:rPr>
          <w:color w:val="000000" w:themeColor="text1"/>
        </w:rPr>
        <w:t>New York Review of Books.</w:t>
      </w:r>
      <w:proofErr w:type="gramEnd"/>
    </w:p>
    <w:p w:rsidR="00705544" w:rsidRPr="00B72461" w:rsidRDefault="00665402" w:rsidP="00705544">
      <w:pPr>
        <w:spacing w:line="480" w:lineRule="auto"/>
        <w:ind w:left="720" w:hanging="720"/>
        <w:rPr>
          <w:color w:val="000000" w:themeColor="text1"/>
        </w:rPr>
      </w:pPr>
      <w:r>
        <w:rPr>
          <w:color w:val="000000" w:themeColor="text1"/>
        </w:rPr>
        <w:t xml:space="preserve">Davenport, Christian. 1996. The Weight of the Past: Exploring Lagged Determinants of Political Repression. </w:t>
      </w:r>
      <w:r>
        <w:rPr>
          <w:i/>
          <w:iCs/>
          <w:color w:val="000000" w:themeColor="text1"/>
        </w:rPr>
        <w:t>Political Research Quarterly</w:t>
      </w:r>
      <w:r>
        <w:rPr>
          <w:color w:val="000000" w:themeColor="text1"/>
        </w:rPr>
        <w:t xml:space="preserve"> 49:2, 377-403.</w:t>
      </w:r>
    </w:p>
    <w:p w:rsidR="00705544" w:rsidRPr="00B72461" w:rsidRDefault="00665402" w:rsidP="00705544">
      <w:pPr>
        <w:spacing w:line="480" w:lineRule="auto"/>
        <w:ind w:left="720" w:hanging="720"/>
        <w:rPr>
          <w:color w:val="000000" w:themeColor="text1"/>
        </w:rPr>
      </w:pPr>
      <w:r>
        <w:rPr>
          <w:color w:val="000000" w:themeColor="text1"/>
        </w:rPr>
        <w:t xml:space="preserve">Davenport, Christian. 2004. The Promise of Democratic Pacification: An Empirical Assessment. </w:t>
      </w:r>
      <w:r>
        <w:rPr>
          <w:i/>
          <w:iCs/>
          <w:color w:val="000000" w:themeColor="text1"/>
        </w:rPr>
        <w:t>International Studies Quarterly</w:t>
      </w:r>
      <w:r>
        <w:rPr>
          <w:color w:val="000000" w:themeColor="text1"/>
        </w:rPr>
        <w:t xml:space="preserve"> 48: 539-560.</w:t>
      </w:r>
    </w:p>
    <w:p w:rsidR="00705544" w:rsidRPr="00B72461" w:rsidRDefault="00665402" w:rsidP="00705544">
      <w:pPr>
        <w:spacing w:line="480" w:lineRule="auto"/>
        <w:ind w:left="720" w:hanging="720"/>
        <w:rPr>
          <w:bCs/>
          <w:color w:val="000000" w:themeColor="text1"/>
        </w:rPr>
      </w:pPr>
      <w:r>
        <w:rPr>
          <w:color w:val="000000" w:themeColor="text1"/>
        </w:rPr>
        <w:t>Davenport, Christian. 2007</w:t>
      </w:r>
      <w:r>
        <w:rPr>
          <w:bCs/>
          <w:color w:val="000000" w:themeColor="text1"/>
        </w:rPr>
        <w:t xml:space="preserve">. </w:t>
      </w:r>
      <w:r>
        <w:rPr>
          <w:bCs/>
          <w:i/>
          <w:color w:val="000000" w:themeColor="text1"/>
        </w:rPr>
        <w:t xml:space="preserve">State </w:t>
      </w:r>
      <w:proofErr w:type="gramStart"/>
      <w:r>
        <w:rPr>
          <w:bCs/>
          <w:i/>
          <w:color w:val="000000" w:themeColor="text1"/>
        </w:rPr>
        <w:t>Repression</w:t>
      </w:r>
      <w:proofErr w:type="gramEnd"/>
      <w:r>
        <w:rPr>
          <w:bCs/>
          <w:i/>
          <w:color w:val="000000" w:themeColor="text1"/>
        </w:rPr>
        <w:t xml:space="preserve"> and Political Order.</w:t>
      </w:r>
      <w:r>
        <w:rPr>
          <w:bCs/>
          <w:color w:val="000000" w:themeColor="text1"/>
        </w:rPr>
        <w:t xml:space="preserve"> New York: Cambridge University Press.</w:t>
      </w:r>
    </w:p>
    <w:p w:rsidR="00830A4E" w:rsidRPr="00B72461" w:rsidRDefault="00665402" w:rsidP="00705544">
      <w:pPr>
        <w:spacing w:line="480" w:lineRule="auto"/>
        <w:ind w:left="720" w:hanging="720"/>
        <w:rPr>
          <w:color w:val="000000" w:themeColor="text1"/>
        </w:rPr>
      </w:pPr>
      <w:r>
        <w:rPr>
          <w:color w:val="000000" w:themeColor="text1"/>
        </w:rPr>
        <w:t xml:space="preserve">Davenport, Christian, Will H. Moore, and David Armstrong. 2008. Waterboarding in a Democracy? </w:t>
      </w:r>
      <w:proofErr w:type="gramStart"/>
      <w:r>
        <w:rPr>
          <w:color w:val="000000" w:themeColor="text1"/>
        </w:rPr>
        <w:t>Torture, Political Threats, and the Palliative Impact of Democratic Institutions.</w:t>
      </w:r>
      <w:proofErr w:type="gramEnd"/>
      <w:r>
        <w:rPr>
          <w:color w:val="000000" w:themeColor="text1"/>
        </w:rPr>
        <w:t xml:space="preserve"> Working paper.</w:t>
      </w:r>
    </w:p>
    <w:p w:rsidR="00705544" w:rsidRPr="00B72461" w:rsidRDefault="00665402" w:rsidP="00705544">
      <w:pPr>
        <w:spacing w:line="480" w:lineRule="auto"/>
        <w:ind w:left="720" w:hanging="720"/>
        <w:rPr>
          <w:color w:val="000000" w:themeColor="text1"/>
        </w:rPr>
      </w:pPr>
      <w:proofErr w:type="spellStart"/>
      <w:r>
        <w:rPr>
          <w:color w:val="000000" w:themeColor="text1"/>
        </w:rPr>
        <w:t>Dershowitz</w:t>
      </w:r>
      <w:proofErr w:type="spellEnd"/>
      <w:r>
        <w:rPr>
          <w:color w:val="000000" w:themeColor="text1"/>
        </w:rPr>
        <w:t xml:space="preserve">, Alan. 2002. </w:t>
      </w:r>
      <w:r>
        <w:rPr>
          <w:i/>
          <w:iCs/>
          <w:color w:val="000000" w:themeColor="text1"/>
        </w:rPr>
        <w:t xml:space="preserve">Why Torture Works: Understanding the Threat, Responding to the Challenge. </w:t>
      </w:r>
      <w:r>
        <w:rPr>
          <w:color w:val="000000" w:themeColor="text1"/>
        </w:rPr>
        <w:t>New Haven: Yale University Press.</w:t>
      </w:r>
    </w:p>
    <w:p w:rsidR="00FD22D2" w:rsidRDefault="00665402" w:rsidP="00705544">
      <w:pPr>
        <w:spacing w:line="480" w:lineRule="auto"/>
        <w:ind w:left="720" w:hanging="720"/>
        <w:rPr>
          <w:color w:val="000000" w:themeColor="text1"/>
        </w:rPr>
      </w:pPr>
      <w:proofErr w:type="spellStart"/>
      <w:r>
        <w:rPr>
          <w:color w:val="000000" w:themeColor="text1"/>
        </w:rPr>
        <w:t>DiMarco</w:t>
      </w:r>
      <w:proofErr w:type="spellEnd"/>
      <w:r>
        <w:rPr>
          <w:color w:val="000000" w:themeColor="text1"/>
        </w:rPr>
        <w:t xml:space="preserve">, Lou. 2006. Losing the Moral Compass. </w:t>
      </w:r>
      <w:proofErr w:type="gramStart"/>
      <w:r>
        <w:rPr>
          <w:i/>
          <w:color w:val="000000" w:themeColor="text1"/>
        </w:rPr>
        <w:t>Parameters</w:t>
      </w:r>
      <w:r>
        <w:rPr>
          <w:color w:val="000000" w:themeColor="text1"/>
        </w:rPr>
        <w:t xml:space="preserve"> (summer).</w:t>
      </w:r>
      <w:proofErr w:type="gramEnd"/>
      <w:r>
        <w:rPr>
          <w:color w:val="000000" w:themeColor="text1"/>
        </w:rPr>
        <w:t xml:space="preserve"> </w:t>
      </w:r>
    </w:p>
    <w:p w:rsidR="00EF1C9D" w:rsidRPr="00852F09" w:rsidRDefault="00EF1C9D" w:rsidP="00EF1C9D">
      <w:pPr>
        <w:spacing w:before="100" w:beforeAutospacing="1" w:after="100" w:afterAutospacing="1" w:line="480" w:lineRule="auto"/>
        <w:ind w:left="475" w:hanging="475"/>
        <w:rPr>
          <w:rFonts w:eastAsia="Times New Roman"/>
        </w:rPr>
      </w:pPr>
      <w:r w:rsidRPr="00852F09">
        <w:rPr>
          <w:rFonts w:eastAsia="Times New Roman"/>
        </w:rPr>
        <w:t xml:space="preserve">Dugan, L., &amp; Chenoweth, E. (2012). Moving Beyond Deterrence: The Effectiveness of Raising the Expected Utility of Abstaining from Terrorism in Israel. </w:t>
      </w:r>
      <w:r w:rsidRPr="00852F09">
        <w:rPr>
          <w:rFonts w:eastAsia="Times New Roman"/>
          <w:i/>
          <w:iCs/>
        </w:rPr>
        <w:t>American Sociological Review</w:t>
      </w:r>
      <w:r w:rsidRPr="00852F09">
        <w:rPr>
          <w:rFonts w:eastAsia="Times New Roman"/>
        </w:rPr>
        <w:t xml:space="preserve"> </w:t>
      </w:r>
      <w:r w:rsidRPr="00852F09">
        <w:rPr>
          <w:rFonts w:eastAsia="Times New Roman"/>
          <w:i/>
          <w:iCs/>
        </w:rPr>
        <w:t>77</w:t>
      </w:r>
      <w:r w:rsidRPr="00852F09">
        <w:rPr>
          <w:rFonts w:eastAsia="Times New Roman"/>
        </w:rPr>
        <w:t xml:space="preserve">(4), 597–624. </w:t>
      </w:r>
    </w:p>
    <w:p w:rsidR="00A95F53" w:rsidRPr="00B72461" w:rsidRDefault="00665402" w:rsidP="00705544">
      <w:pPr>
        <w:spacing w:line="480" w:lineRule="auto"/>
        <w:ind w:left="720" w:hanging="720"/>
        <w:rPr>
          <w:i/>
          <w:color w:val="000000" w:themeColor="text1"/>
        </w:rPr>
      </w:pPr>
      <w:proofErr w:type="spellStart"/>
      <w:r>
        <w:rPr>
          <w:color w:val="000000" w:themeColor="text1"/>
        </w:rPr>
        <w:t>Einholf</w:t>
      </w:r>
      <w:proofErr w:type="spellEnd"/>
      <w:r>
        <w:rPr>
          <w:color w:val="000000" w:themeColor="text1"/>
        </w:rPr>
        <w:t xml:space="preserve">, Christopher. 2007. The Fall and Rise of Torture: A Comparative and Historical Analysis. </w:t>
      </w:r>
      <w:r>
        <w:rPr>
          <w:i/>
          <w:color w:val="000000" w:themeColor="text1"/>
        </w:rPr>
        <w:t>Sociological Theory.</w:t>
      </w:r>
    </w:p>
    <w:p w:rsidR="00653FA7" w:rsidRPr="00B72461" w:rsidRDefault="00665402" w:rsidP="00705544">
      <w:pPr>
        <w:spacing w:line="480" w:lineRule="auto"/>
        <w:ind w:left="720" w:hanging="720"/>
        <w:rPr>
          <w:color w:val="000000" w:themeColor="text1"/>
        </w:rPr>
      </w:pPr>
      <w:r>
        <w:rPr>
          <w:color w:val="000000" w:themeColor="text1"/>
        </w:rPr>
        <w:t xml:space="preserve">Enders, Walter, and Todd Sandler. 2006. </w:t>
      </w:r>
      <w:r>
        <w:rPr>
          <w:i/>
          <w:color w:val="000000" w:themeColor="text1"/>
        </w:rPr>
        <w:t>The Political Economy of Terrorism</w:t>
      </w:r>
      <w:r>
        <w:rPr>
          <w:color w:val="000000" w:themeColor="text1"/>
        </w:rPr>
        <w:t>. New York: Cambridge University Press.</w:t>
      </w:r>
    </w:p>
    <w:p w:rsidR="00705544" w:rsidRPr="00B72461" w:rsidRDefault="00665402" w:rsidP="00705544">
      <w:pPr>
        <w:spacing w:line="480" w:lineRule="auto"/>
        <w:ind w:left="720" w:hanging="720"/>
        <w:rPr>
          <w:color w:val="000000" w:themeColor="text1"/>
        </w:rPr>
      </w:pPr>
      <w:proofErr w:type="gramStart"/>
      <w:r>
        <w:rPr>
          <w:color w:val="000000" w:themeColor="text1"/>
          <w:kern w:val="36"/>
        </w:rPr>
        <w:lastRenderedPageBreak/>
        <w:t xml:space="preserve">Enders, Walter; Todd Sandler </w:t>
      </w:r>
      <w:r>
        <w:rPr>
          <w:color w:val="000000" w:themeColor="text1"/>
        </w:rPr>
        <w:t>and</w:t>
      </w:r>
      <w:r>
        <w:rPr>
          <w:color w:val="000000" w:themeColor="text1"/>
          <w:kern w:val="36"/>
        </w:rPr>
        <w:t xml:space="preserve"> </w:t>
      </w:r>
      <w:proofErr w:type="spellStart"/>
      <w:r>
        <w:rPr>
          <w:color w:val="000000" w:themeColor="text1"/>
          <w:kern w:val="36"/>
        </w:rPr>
        <w:t>Khusrav</w:t>
      </w:r>
      <w:proofErr w:type="spellEnd"/>
      <w:r>
        <w:rPr>
          <w:color w:val="000000" w:themeColor="text1"/>
          <w:kern w:val="36"/>
        </w:rPr>
        <w:t xml:space="preserve"> </w:t>
      </w:r>
      <w:proofErr w:type="spellStart"/>
      <w:r>
        <w:rPr>
          <w:color w:val="000000" w:themeColor="text1"/>
          <w:kern w:val="36"/>
        </w:rPr>
        <w:t>Gaibulloev</w:t>
      </w:r>
      <w:proofErr w:type="spellEnd"/>
      <w:r>
        <w:rPr>
          <w:color w:val="000000" w:themeColor="text1"/>
          <w:kern w:val="36"/>
        </w:rPr>
        <w:t>.</w:t>
      </w:r>
      <w:proofErr w:type="gramEnd"/>
      <w:r>
        <w:rPr>
          <w:color w:val="000000" w:themeColor="text1"/>
          <w:kern w:val="36"/>
        </w:rPr>
        <w:t xml:space="preserve"> 2011. “Domestic Versus Transnational Terrorism: Data, Decomposition and Dynamics</w:t>
      </w:r>
      <w:r>
        <w:rPr>
          <w:color w:val="000000" w:themeColor="text1"/>
        </w:rPr>
        <w:t>.”</w:t>
      </w:r>
      <w:r>
        <w:rPr>
          <w:color w:val="000000" w:themeColor="text1"/>
          <w:kern w:val="36"/>
        </w:rPr>
        <w:t xml:space="preserve"> </w:t>
      </w:r>
      <w:proofErr w:type="gramStart"/>
      <w:r>
        <w:rPr>
          <w:i/>
          <w:iCs/>
          <w:color w:val="000000" w:themeColor="text1"/>
          <w:kern w:val="36"/>
        </w:rPr>
        <w:t>Journal of Peace Research</w:t>
      </w:r>
      <w:r>
        <w:rPr>
          <w:color w:val="000000" w:themeColor="text1"/>
          <w:kern w:val="36"/>
        </w:rPr>
        <w:t>.</w:t>
      </w:r>
      <w:proofErr w:type="gramEnd"/>
      <w:r>
        <w:rPr>
          <w:color w:val="000000" w:themeColor="text1"/>
          <w:kern w:val="36"/>
        </w:rPr>
        <w:t xml:space="preserve"> </w:t>
      </w:r>
      <w:proofErr w:type="gramStart"/>
      <w:r>
        <w:rPr>
          <w:color w:val="000000" w:themeColor="text1"/>
          <w:kern w:val="36"/>
        </w:rPr>
        <w:t>48:3.</w:t>
      </w:r>
      <w:proofErr w:type="gramEnd"/>
    </w:p>
    <w:p w:rsidR="00705544" w:rsidRPr="00B72461" w:rsidRDefault="00665402" w:rsidP="00705544">
      <w:pPr>
        <w:spacing w:line="480" w:lineRule="auto"/>
        <w:ind w:left="720" w:hanging="720"/>
        <w:rPr>
          <w:color w:val="000000" w:themeColor="text1"/>
          <w:kern w:val="36"/>
        </w:rPr>
      </w:pPr>
      <w:proofErr w:type="spellStart"/>
      <w:r>
        <w:rPr>
          <w:color w:val="000000" w:themeColor="text1"/>
          <w:kern w:val="36"/>
        </w:rPr>
        <w:t>Enterline</w:t>
      </w:r>
      <w:proofErr w:type="spellEnd"/>
      <w:r>
        <w:rPr>
          <w:color w:val="000000" w:themeColor="text1"/>
          <w:kern w:val="36"/>
        </w:rPr>
        <w:t xml:space="preserve">, Andrew J. and </w:t>
      </w:r>
      <w:proofErr w:type="spellStart"/>
      <w:r>
        <w:rPr>
          <w:color w:val="000000" w:themeColor="text1"/>
          <w:kern w:val="36"/>
        </w:rPr>
        <w:t>Kristian</w:t>
      </w:r>
      <w:proofErr w:type="spellEnd"/>
      <w:r>
        <w:rPr>
          <w:color w:val="000000" w:themeColor="text1"/>
          <w:kern w:val="36"/>
        </w:rPr>
        <w:t xml:space="preserve"> S. </w:t>
      </w:r>
      <w:proofErr w:type="spellStart"/>
      <w:r>
        <w:rPr>
          <w:color w:val="000000" w:themeColor="text1"/>
          <w:kern w:val="36"/>
        </w:rPr>
        <w:t>Gleditsch</w:t>
      </w:r>
      <w:proofErr w:type="spellEnd"/>
      <w:r>
        <w:rPr>
          <w:color w:val="000000" w:themeColor="text1"/>
          <w:kern w:val="36"/>
        </w:rPr>
        <w:t xml:space="preserve">.  2000.  “Threats, Opportunity and Force: Repression and Diversion of Domestic Pressure, 1948-1982.”  </w:t>
      </w:r>
      <w:r>
        <w:rPr>
          <w:i/>
          <w:iCs/>
          <w:color w:val="000000" w:themeColor="text1"/>
          <w:kern w:val="36"/>
        </w:rPr>
        <w:t>International Interactions</w:t>
      </w:r>
      <w:r>
        <w:rPr>
          <w:color w:val="000000" w:themeColor="text1"/>
          <w:kern w:val="36"/>
        </w:rPr>
        <w:t>.  26(1): 21-53.</w:t>
      </w:r>
    </w:p>
    <w:p w:rsidR="005367F0" w:rsidRPr="00B72461" w:rsidRDefault="00665402" w:rsidP="00705544">
      <w:pPr>
        <w:spacing w:line="480" w:lineRule="auto"/>
        <w:ind w:left="720" w:hanging="720"/>
        <w:rPr>
          <w:color w:val="000000" w:themeColor="text1"/>
          <w:kern w:val="36"/>
        </w:rPr>
      </w:pPr>
      <w:r>
        <w:rPr>
          <w:color w:val="000000" w:themeColor="text1"/>
          <w:kern w:val="36"/>
        </w:rPr>
        <w:t xml:space="preserve">Evans, Malcolm, and Rod Morgan. 1999. </w:t>
      </w:r>
      <w:r>
        <w:rPr>
          <w:i/>
          <w:color w:val="000000" w:themeColor="text1"/>
          <w:kern w:val="36"/>
        </w:rPr>
        <w:t>Preventing Torture</w:t>
      </w:r>
      <w:r>
        <w:rPr>
          <w:color w:val="000000" w:themeColor="text1"/>
          <w:kern w:val="36"/>
        </w:rPr>
        <w:t xml:space="preserve">. Oxford: Clarendon. </w:t>
      </w:r>
    </w:p>
    <w:p w:rsidR="007D6CD2" w:rsidRPr="00B72461" w:rsidRDefault="00665402" w:rsidP="00705544">
      <w:pPr>
        <w:spacing w:line="480" w:lineRule="auto"/>
        <w:ind w:left="720" w:hanging="720"/>
        <w:rPr>
          <w:color w:val="000000" w:themeColor="text1"/>
          <w:kern w:val="36"/>
        </w:rPr>
      </w:pPr>
      <w:proofErr w:type="spellStart"/>
      <w:r>
        <w:rPr>
          <w:color w:val="000000" w:themeColor="text1"/>
          <w:kern w:val="36"/>
        </w:rPr>
        <w:t>Feaver</w:t>
      </w:r>
      <w:proofErr w:type="spellEnd"/>
      <w:r>
        <w:rPr>
          <w:color w:val="000000" w:themeColor="text1"/>
          <w:kern w:val="36"/>
        </w:rPr>
        <w:t xml:space="preserve">, Peter D.  2003.  </w:t>
      </w:r>
      <w:r w:rsidR="00ED1BCC" w:rsidRPr="00ED1BCC">
        <w:rPr>
          <w:i/>
          <w:color w:val="000000" w:themeColor="text1"/>
          <w:kern w:val="36"/>
        </w:rPr>
        <w:t>Armed Servants: Agency, Oversight and Civil-Military Relations</w:t>
      </w:r>
      <w:r>
        <w:rPr>
          <w:color w:val="000000" w:themeColor="text1"/>
          <w:kern w:val="36"/>
        </w:rPr>
        <w:t>.  Boston, MA: Harvard University Press.</w:t>
      </w:r>
    </w:p>
    <w:p w:rsidR="00716E16" w:rsidRPr="00B72461" w:rsidRDefault="00665402" w:rsidP="00705544">
      <w:pPr>
        <w:spacing w:line="480" w:lineRule="auto"/>
        <w:ind w:left="720" w:hanging="720"/>
        <w:rPr>
          <w:color w:val="000000" w:themeColor="text1"/>
        </w:rPr>
      </w:pPr>
      <w:proofErr w:type="spellStart"/>
      <w:r>
        <w:rPr>
          <w:color w:val="000000" w:themeColor="text1"/>
          <w:kern w:val="36"/>
        </w:rPr>
        <w:t>Filkins</w:t>
      </w:r>
      <w:proofErr w:type="spellEnd"/>
      <w:r>
        <w:rPr>
          <w:color w:val="000000" w:themeColor="text1"/>
          <w:kern w:val="36"/>
        </w:rPr>
        <w:t xml:space="preserve">, Dexter. 2008. </w:t>
      </w:r>
      <w:r>
        <w:rPr>
          <w:i/>
          <w:color w:val="000000" w:themeColor="text1"/>
          <w:kern w:val="36"/>
        </w:rPr>
        <w:t xml:space="preserve">The Forever War. </w:t>
      </w:r>
      <w:r>
        <w:rPr>
          <w:color w:val="000000" w:themeColor="text1"/>
          <w:kern w:val="36"/>
        </w:rPr>
        <w:t>New York: Knopf.</w:t>
      </w:r>
    </w:p>
    <w:p w:rsidR="00720FB7" w:rsidRPr="00B72461" w:rsidRDefault="00665402" w:rsidP="00720FB7">
      <w:pPr>
        <w:spacing w:line="480" w:lineRule="auto"/>
        <w:ind w:left="720" w:hanging="720"/>
        <w:jc w:val="both"/>
        <w:rPr>
          <w:i/>
          <w:color w:val="000000" w:themeColor="text1"/>
        </w:rPr>
      </w:pPr>
      <w:r>
        <w:rPr>
          <w:color w:val="000000" w:themeColor="text1"/>
        </w:rPr>
        <w:t xml:space="preserve">Findley, Michael, James A. Piazza, and Joseph Young. 2012. Games Rivals Play: Terrorism and International Rivalries. </w:t>
      </w:r>
      <w:r>
        <w:rPr>
          <w:i/>
          <w:color w:val="000000" w:themeColor="text1"/>
        </w:rPr>
        <w:t xml:space="preserve">Journal of Politics </w:t>
      </w:r>
      <w:r>
        <w:rPr>
          <w:color w:val="000000" w:themeColor="text1"/>
        </w:rPr>
        <w:t>74(1): 235-248.</w:t>
      </w:r>
    </w:p>
    <w:p w:rsidR="00705544" w:rsidRPr="00B72461" w:rsidRDefault="00665402" w:rsidP="00705544">
      <w:pPr>
        <w:spacing w:line="480" w:lineRule="auto"/>
        <w:ind w:left="720" w:hanging="720"/>
        <w:rPr>
          <w:color w:val="000000" w:themeColor="text1"/>
        </w:rPr>
      </w:pPr>
      <w:r>
        <w:rPr>
          <w:color w:val="000000" w:themeColor="text1"/>
          <w:kern w:val="36"/>
        </w:rPr>
        <w:t xml:space="preserve">Findley, Michael, and Joseph Young. 2011. Promise and Pitfalls of Terrorism Research. </w:t>
      </w:r>
      <w:r>
        <w:rPr>
          <w:i/>
          <w:iCs/>
          <w:color w:val="000000" w:themeColor="text1"/>
          <w:kern w:val="36"/>
        </w:rPr>
        <w:t xml:space="preserve">International Studies Review </w:t>
      </w:r>
      <w:r>
        <w:rPr>
          <w:iCs/>
          <w:color w:val="000000" w:themeColor="text1"/>
          <w:kern w:val="36"/>
        </w:rPr>
        <w:t>13 (3): 411-431.</w:t>
      </w:r>
    </w:p>
    <w:p w:rsidR="00626873" w:rsidRPr="00CA7412" w:rsidRDefault="00665402" w:rsidP="00547962">
      <w:pPr>
        <w:widowControl w:val="0"/>
        <w:spacing w:line="480" w:lineRule="auto"/>
        <w:ind w:left="720" w:hanging="720"/>
        <w:rPr>
          <w:color w:val="000000" w:themeColor="text1"/>
          <w:kern w:val="36"/>
        </w:rPr>
      </w:pPr>
      <w:r>
        <w:rPr>
          <w:color w:val="000000" w:themeColor="text1"/>
          <w:kern w:val="36"/>
        </w:rPr>
        <w:t xml:space="preserve">Gibson, James L.  1988.  “Political Intolerance and Political Repression During the McCarthy </w:t>
      </w:r>
      <w:r w:rsidRPr="00E810F9">
        <w:rPr>
          <w:color w:val="000000" w:themeColor="text1"/>
          <w:kern w:val="36"/>
        </w:rPr>
        <w:t xml:space="preserve">Red Scare.”  </w:t>
      </w:r>
      <w:proofErr w:type="gramStart"/>
      <w:r w:rsidRPr="00E00828">
        <w:rPr>
          <w:i/>
          <w:iCs/>
          <w:color w:val="000000" w:themeColor="text1"/>
          <w:kern w:val="36"/>
        </w:rPr>
        <w:t>American Political Science Review</w:t>
      </w:r>
      <w:r w:rsidRPr="000D0A9D">
        <w:rPr>
          <w:color w:val="000000" w:themeColor="text1"/>
          <w:kern w:val="36"/>
        </w:rPr>
        <w:t>.</w:t>
      </w:r>
      <w:proofErr w:type="gramEnd"/>
      <w:r w:rsidRPr="000D0A9D">
        <w:rPr>
          <w:color w:val="000000" w:themeColor="text1"/>
          <w:kern w:val="36"/>
        </w:rPr>
        <w:t xml:space="preserve">  82(2): 511-529.</w:t>
      </w:r>
    </w:p>
    <w:p w:rsidR="00E810F9" w:rsidRPr="005654A2" w:rsidRDefault="00665402" w:rsidP="00E810F9">
      <w:pPr>
        <w:spacing w:line="480" w:lineRule="auto"/>
        <w:rPr>
          <w:color w:val="000000" w:themeColor="text1"/>
        </w:rPr>
      </w:pPr>
      <w:proofErr w:type="gramStart"/>
      <w:r w:rsidRPr="00CA7412">
        <w:rPr>
          <w:color w:val="000000" w:themeColor="text1"/>
        </w:rPr>
        <w:t>Global Terrorism Database, START.</w:t>
      </w:r>
      <w:proofErr w:type="gramEnd"/>
      <w:r w:rsidRPr="00CA7412">
        <w:rPr>
          <w:color w:val="000000" w:themeColor="text1"/>
        </w:rPr>
        <w:t xml:space="preserve">  2008.  Accessed: January 30, 2011.</w:t>
      </w:r>
    </w:p>
    <w:p w:rsidR="00E810F9" w:rsidRPr="00732272" w:rsidRDefault="00BB7CA6" w:rsidP="00E810F9">
      <w:pPr>
        <w:spacing w:line="480" w:lineRule="auto"/>
      </w:pPr>
      <w:r w:rsidRPr="00732272">
        <w:t xml:space="preserve">Goodman, Ryan &amp; Derek Jinks. 2003. “Measuring the effects of human rights treaties.” </w:t>
      </w:r>
    </w:p>
    <w:p w:rsidR="00ED2456" w:rsidRPr="00732272" w:rsidRDefault="00BB7CA6" w:rsidP="00732272">
      <w:pPr>
        <w:spacing w:line="480" w:lineRule="auto"/>
        <w:ind w:firstLine="720"/>
        <w:rPr>
          <w:color w:val="000000" w:themeColor="text1"/>
        </w:rPr>
      </w:pPr>
      <w:proofErr w:type="gramStart"/>
      <w:r w:rsidRPr="00732272">
        <w:rPr>
          <w:i/>
        </w:rPr>
        <w:t xml:space="preserve">European Journal of International Law </w:t>
      </w:r>
      <w:r w:rsidRPr="00732272">
        <w:t>14(1): 171–184.</w:t>
      </w:r>
      <w:proofErr w:type="gramEnd"/>
    </w:p>
    <w:p w:rsidR="00626873" w:rsidRPr="00B72461" w:rsidRDefault="00665402" w:rsidP="00547962">
      <w:pPr>
        <w:widowControl w:val="0"/>
        <w:spacing w:line="480" w:lineRule="auto"/>
        <w:ind w:left="720" w:hanging="720"/>
        <w:rPr>
          <w:color w:val="000000" w:themeColor="text1"/>
          <w:kern w:val="36"/>
        </w:rPr>
      </w:pPr>
      <w:proofErr w:type="spellStart"/>
      <w:r w:rsidRPr="00E810F9">
        <w:rPr>
          <w:color w:val="000000" w:themeColor="text1"/>
          <w:kern w:val="36"/>
        </w:rPr>
        <w:t>Gronke</w:t>
      </w:r>
      <w:proofErr w:type="spellEnd"/>
      <w:r w:rsidRPr="00E810F9">
        <w:rPr>
          <w:color w:val="000000" w:themeColor="text1"/>
          <w:kern w:val="36"/>
        </w:rPr>
        <w:t xml:space="preserve">, Paul, Darius </w:t>
      </w:r>
      <w:proofErr w:type="spellStart"/>
      <w:r w:rsidRPr="00E810F9">
        <w:rPr>
          <w:color w:val="000000" w:themeColor="text1"/>
          <w:kern w:val="36"/>
        </w:rPr>
        <w:t>Rejali</w:t>
      </w:r>
      <w:proofErr w:type="spellEnd"/>
      <w:r w:rsidRPr="00E810F9">
        <w:rPr>
          <w:color w:val="000000" w:themeColor="text1"/>
          <w:kern w:val="36"/>
        </w:rPr>
        <w:t xml:space="preserve">, Dustin </w:t>
      </w:r>
      <w:proofErr w:type="spellStart"/>
      <w:r w:rsidRPr="00E810F9">
        <w:rPr>
          <w:color w:val="000000" w:themeColor="text1"/>
          <w:kern w:val="36"/>
        </w:rPr>
        <w:t>Drenguis</w:t>
      </w:r>
      <w:proofErr w:type="spellEnd"/>
      <w:r w:rsidRPr="00E810F9">
        <w:rPr>
          <w:color w:val="000000" w:themeColor="text1"/>
          <w:kern w:val="36"/>
        </w:rPr>
        <w:t>, James Hicks, Peter Miller and Bryan Nakayama.  2010.  “U.S</w:t>
      </w:r>
      <w:r w:rsidRPr="00E00828">
        <w:rPr>
          <w:color w:val="000000" w:themeColor="text1"/>
          <w:kern w:val="36"/>
        </w:rPr>
        <w:t>. Public</w:t>
      </w:r>
      <w:r>
        <w:rPr>
          <w:color w:val="000000" w:themeColor="text1"/>
          <w:kern w:val="36"/>
        </w:rPr>
        <w:t xml:space="preserve"> Opinion on Torture, 2001-2009.  2010.  </w:t>
      </w:r>
      <w:r>
        <w:rPr>
          <w:i/>
          <w:iCs/>
          <w:color w:val="000000" w:themeColor="text1"/>
          <w:kern w:val="36"/>
        </w:rPr>
        <w:t>PS: Political Science and Politics</w:t>
      </w:r>
      <w:r>
        <w:rPr>
          <w:color w:val="000000" w:themeColor="text1"/>
          <w:kern w:val="36"/>
        </w:rPr>
        <w:t xml:space="preserve">.  </w:t>
      </w:r>
      <w:proofErr w:type="gramStart"/>
      <w:r>
        <w:rPr>
          <w:color w:val="000000" w:themeColor="text1"/>
          <w:kern w:val="36"/>
        </w:rPr>
        <w:t>43: 437-444.</w:t>
      </w:r>
      <w:proofErr w:type="gramEnd"/>
    </w:p>
    <w:p w:rsidR="00626873" w:rsidRPr="00B72461" w:rsidRDefault="00665402" w:rsidP="00547962">
      <w:pPr>
        <w:widowControl w:val="0"/>
        <w:spacing w:line="480" w:lineRule="auto"/>
        <w:ind w:left="720" w:hanging="720"/>
        <w:rPr>
          <w:color w:val="000000" w:themeColor="text1"/>
          <w:kern w:val="36"/>
        </w:rPr>
      </w:pPr>
      <w:proofErr w:type="spellStart"/>
      <w:proofErr w:type="gramStart"/>
      <w:r>
        <w:rPr>
          <w:color w:val="000000" w:themeColor="text1"/>
          <w:kern w:val="36"/>
        </w:rPr>
        <w:t>Hafner</w:t>
      </w:r>
      <w:proofErr w:type="spellEnd"/>
      <w:r>
        <w:rPr>
          <w:color w:val="000000" w:themeColor="text1"/>
          <w:kern w:val="36"/>
        </w:rPr>
        <w:t xml:space="preserve">-Burton, </w:t>
      </w:r>
      <w:proofErr w:type="spellStart"/>
      <w:r>
        <w:rPr>
          <w:color w:val="000000" w:themeColor="text1"/>
          <w:kern w:val="36"/>
        </w:rPr>
        <w:t>Emelie</w:t>
      </w:r>
      <w:proofErr w:type="spellEnd"/>
      <w:r>
        <w:rPr>
          <w:color w:val="000000" w:themeColor="text1"/>
          <w:kern w:val="36"/>
        </w:rPr>
        <w:t>, and Jacob N. Shapiro.</w:t>
      </w:r>
      <w:proofErr w:type="gramEnd"/>
      <w:r>
        <w:rPr>
          <w:color w:val="000000" w:themeColor="text1"/>
          <w:kern w:val="36"/>
        </w:rPr>
        <w:t xml:space="preserve"> 2010. Tortured Relations: Human Rights </w:t>
      </w:r>
      <w:r>
        <w:rPr>
          <w:color w:val="000000" w:themeColor="text1"/>
          <w:kern w:val="36"/>
        </w:rPr>
        <w:lastRenderedPageBreak/>
        <w:t xml:space="preserve">Abuses and Counterterrorism Cooperation. </w:t>
      </w:r>
      <w:r>
        <w:rPr>
          <w:i/>
          <w:iCs/>
          <w:color w:val="000000" w:themeColor="text1"/>
          <w:kern w:val="36"/>
        </w:rPr>
        <w:t>PS: Political Science and Politics</w:t>
      </w:r>
      <w:r>
        <w:rPr>
          <w:color w:val="000000" w:themeColor="text1"/>
          <w:kern w:val="36"/>
        </w:rPr>
        <w:t>, July.</w:t>
      </w:r>
    </w:p>
    <w:p w:rsidR="005E5D98" w:rsidRPr="00B72461" w:rsidRDefault="00665402" w:rsidP="00547962">
      <w:pPr>
        <w:widowControl w:val="0"/>
        <w:spacing w:line="480" w:lineRule="auto"/>
        <w:ind w:left="720" w:hanging="720"/>
        <w:rPr>
          <w:color w:val="000000" w:themeColor="text1"/>
          <w:kern w:val="36"/>
        </w:rPr>
      </w:pPr>
      <w:r>
        <w:rPr>
          <w:color w:val="000000" w:themeColor="text1"/>
          <w:kern w:val="36"/>
        </w:rPr>
        <w:t xml:space="preserve">Hamm, Mark and Cecile Van de </w:t>
      </w:r>
      <w:proofErr w:type="spellStart"/>
      <w:r>
        <w:rPr>
          <w:color w:val="000000" w:themeColor="text1"/>
          <w:kern w:val="36"/>
        </w:rPr>
        <w:t>Voorde</w:t>
      </w:r>
      <w:proofErr w:type="spellEnd"/>
      <w:r>
        <w:rPr>
          <w:color w:val="000000" w:themeColor="text1"/>
          <w:kern w:val="36"/>
        </w:rPr>
        <w:t xml:space="preserve">.  2006.  Crimes committed by terrorist groups: Theory, research and prevention.  </w:t>
      </w:r>
      <w:proofErr w:type="gramStart"/>
      <w:r>
        <w:rPr>
          <w:i/>
          <w:color w:val="000000" w:themeColor="text1"/>
          <w:kern w:val="36"/>
        </w:rPr>
        <w:t xml:space="preserve">Trends in Organized Crime </w:t>
      </w:r>
      <w:r>
        <w:rPr>
          <w:color w:val="000000" w:themeColor="text1"/>
          <w:kern w:val="36"/>
        </w:rPr>
        <w:t>9(2) 18-51.</w:t>
      </w:r>
      <w:proofErr w:type="gramEnd"/>
    </w:p>
    <w:p w:rsidR="00ED2456" w:rsidRDefault="00665402" w:rsidP="00732272">
      <w:pPr>
        <w:spacing w:line="480" w:lineRule="auto"/>
        <w:ind w:left="720" w:hanging="720"/>
        <w:rPr>
          <w:color w:val="000000" w:themeColor="text1"/>
        </w:rPr>
      </w:pPr>
      <w:r>
        <w:rPr>
          <w:color w:val="000000" w:themeColor="text1"/>
        </w:rPr>
        <w:t xml:space="preserve">Hathaway, </w:t>
      </w:r>
      <w:proofErr w:type="spellStart"/>
      <w:r>
        <w:rPr>
          <w:color w:val="000000" w:themeColor="text1"/>
        </w:rPr>
        <w:t>Oona</w:t>
      </w:r>
      <w:proofErr w:type="spellEnd"/>
      <w:r>
        <w:rPr>
          <w:color w:val="000000" w:themeColor="text1"/>
        </w:rPr>
        <w:t xml:space="preserve">. 2002. Do </w:t>
      </w:r>
      <w:r w:rsidRPr="00E810F9">
        <w:rPr>
          <w:color w:val="000000" w:themeColor="text1"/>
        </w:rPr>
        <w:t xml:space="preserve">Human Rights Treaties Make a Difference? </w:t>
      </w:r>
      <w:proofErr w:type="gramStart"/>
      <w:r w:rsidRPr="00E00828">
        <w:rPr>
          <w:i/>
          <w:iCs/>
          <w:color w:val="000000" w:themeColor="text1"/>
        </w:rPr>
        <w:t>The Yale Law Journal</w:t>
      </w:r>
      <w:r w:rsidRPr="000D0A9D">
        <w:rPr>
          <w:color w:val="000000" w:themeColor="text1"/>
        </w:rPr>
        <w:t xml:space="preserve"> 111:8, 1935-2042.</w:t>
      </w:r>
      <w:proofErr w:type="gramEnd"/>
    </w:p>
    <w:p w:rsidR="00ED2456" w:rsidRPr="00732272" w:rsidRDefault="00BB7CA6" w:rsidP="00732272">
      <w:pPr>
        <w:spacing w:line="480" w:lineRule="auto"/>
        <w:ind w:left="720" w:hanging="720"/>
        <w:rPr>
          <w:color w:val="000000" w:themeColor="text1"/>
        </w:rPr>
      </w:pPr>
      <w:proofErr w:type="gramStart"/>
      <w:r w:rsidRPr="00732272">
        <w:t xml:space="preserve">Hathaway, </w:t>
      </w:r>
      <w:proofErr w:type="spellStart"/>
      <w:r w:rsidRPr="00732272">
        <w:t>Oona</w:t>
      </w:r>
      <w:proofErr w:type="spellEnd"/>
      <w:r w:rsidRPr="00732272">
        <w:t xml:space="preserve"> A &amp; Daniel E Ho. 2004.</w:t>
      </w:r>
      <w:proofErr w:type="gramEnd"/>
      <w:r w:rsidRPr="00732272">
        <w:t xml:space="preserve"> “Characterizing measurement error in human</w:t>
      </w:r>
    </w:p>
    <w:p w:rsidR="00ED2456" w:rsidRDefault="00BB7CA6" w:rsidP="00732272">
      <w:pPr>
        <w:spacing w:line="480" w:lineRule="auto"/>
        <w:ind w:left="720"/>
        <w:rPr>
          <w:color w:val="000000" w:themeColor="text1"/>
        </w:rPr>
      </w:pPr>
      <w:proofErr w:type="gramStart"/>
      <w:r w:rsidRPr="00732272">
        <w:t>rights</w:t>
      </w:r>
      <w:proofErr w:type="gramEnd"/>
      <w:r w:rsidRPr="00732272">
        <w:t>.” Paper presented at the annual meeting of the American Political Science Association.</w:t>
      </w:r>
    </w:p>
    <w:p w:rsidR="00BF79B8" w:rsidRPr="00CA7412" w:rsidRDefault="00665402" w:rsidP="00547962">
      <w:pPr>
        <w:spacing w:line="480" w:lineRule="auto"/>
        <w:ind w:left="720" w:hanging="720"/>
        <w:rPr>
          <w:color w:val="000000" w:themeColor="text1"/>
        </w:rPr>
      </w:pPr>
      <w:r w:rsidRPr="00E00828">
        <w:rPr>
          <w:color w:val="000000" w:themeColor="text1"/>
        </w:rPr>
        <w:t xml:space="preserve">Henderson, Conway. 1993. Population Pressures and Political Repression. </w:t>
      </w:r>
      <w:proofErr w:type="gramStart"/>
      <w:r w:rsidRPr="000D0A9D">
        <w:rPr>
          <w:i/>
          <w:color w:val="000000" w:themeColor="text1"/>
        </w:rPr>
        <w:t>Social Science Quarterly</w:t>
      </w:r>
      <w:r w:rsidRPr="00CA7412">
        <w:rPr>
          <w:color w:val="000000" w:themeColor="text1"/>
        </w:rPr>
        <w:t xml:space="preserve"> 74.</w:t>
      </w:r>
      <w:proofErr w:type="gramEnd"/>
      <w:r w:rsidRPr="00CA7412">
        <w:rPr>
          <w:color w:val="000000" w:themeColor="text1"/>
        </w:rPr>
        <w:t xml:space="preserve"> </w:t>
      </w:r>
    </w:p>
    <w:p w:rsidR="00FD22D2" w:rsidRPr="00675F43" w:rsidRDefault="00665402" w:rsidP="00547962">
      <w:pPr>
        <w:spacing w:line="480" w:lineRule="auto"/>
        <w:ind w:left="720" w:hanging="720"/>
        <w:rPr>
          <w:color w:val="000000" w:themeColor="text1"/>
        </w:rPr>
      </w:pPr>
      <w:r w:rsidRPr="005654A2">
        <w:rPr>
          <w:color w:val="000000" w:themeColor="text1"/>
        </w:rPr>
        <w:t xml:space="preserve">Hobbes, Thomas. 1651/1996. </w:t>
      </w:r>
      <w:r w:rsidRPr="0007708A">
        <w:rPr>
          <w:i/>
          <w:color w:val="000000" w:themeColor="text1"/>
        </w:rPr>
        <w:t>Leviathan</w:t>
      </w:r>
      <w:r w:rsidRPr="00675F43">
        <w:rPr>
          <w:color w:val="000000" w:themeColor="text1"/>
        </w:rPr>
        <w:t xml:space="preserve">. Edited by Richard Tuck. New York: Cambridge University Press. </w:t>
      </w:r>
    </w:p>
    <w:p w:rsidR="00835A4D" w:rsidRPr="00B3077F" w:rsidRDefault="00665402" w:rsidP="00547962">
      <w:pPr>
        <w:spacing w:line="480" w:lineRule="auto"/>
        <w:ind w:left="720" w:hanging="720"/>
        <w:rPr>
          <w:color w:val="000000" w:themeColor="text1"/>
        </w:rPr>
      </w:pPr>
      <w:proofErr w:type="gramStart"/>
      <w:r w:rsidRPr="00B3077F">
        <w:rPr>
          <w:color w:val="000000" w:themeColor="text1"/>
        </w:rPr>
        <w:t xml:space="preserve">Jones, Seth and </w:t>
      </w:r>
      <w:proofErr w:type="spellStart"/>
      <w:r w:rsidRPr="00B3077F">
        <w:rPr>
          <w:color w:val="000000" w:themeColor="text1"/>
        </w:rPr>
        <w:t>Libicki</w:t>
      </w:r>
      <w:proofErr w:type="spellEnd"/>
      <w:r w:rsidRPr="00B3077F">
        <w:rPr>
          <w:color w:val="000000" w:themeColor="text1"/>
        </w:rPr>
        <w:t xml:space="preserve"> 2008.</w:t>
      </w:r>
      <w:proofErr w:type="gramEnd"/>
      <w:r w:rsidRPr="00B3077F">
        <w:rPr>
          <w:color w:val="000000" w:themeColor="text1"/>
        </w:rPr>
        <w:t xml:space="preserve"> </w:t>
      </w:r>
      <w:proofErr w:type="gramStart"/>
      <w:r w:rsidRPr="00B3077F">
        <w:rPr>
          <w:i/>
          <w:color w:val="000000" w:themeColor="text1"/>
        </w:rPr>
        <w:t>How Terrorist Groups End.</w:t>
      </w:r>
      <w:proofErr w:type="gramEnd"/>
      <w:r w:rsidRPr="00B3077F">
        <w:rPr>
          <w:i/>
          <w:color w:val="000000" w:themeColor="text1"/>
        </w:rPr>
        <w:t xml:space="preserve"> </w:t>
      </w:r>
      <w:r w:rsidRPr="00B3077F">
        <w:rPr>
          <w:color w:val="000000" w:themeColor="text1"/>
        </w:rPr>
        <w:t>Santa Monica: RAND.</w:t>
      </w:r>
    </w:p>
    <w:p w:rsidR="00626873" w:rsidRPr="00B72461" w:rsidRDefault="00665402" w:rsidP="00547962">
      <w:pPr>
        <w:spacing w:line="480" w:lineRule="auto"/>
        <w:ind w:left="720" w:hanging="720"/>
        <w:rPr>
          <w:color w:val="000000" w:themeColor="text1"/>
        </w:rPr>
      </w:pPr>
      <w:proofErr w:type="spellStart"/>
      <w:r w:rsidRPr="007F422C">
        <w:rPr>
          <w:color w:val="000000" w:themeColor="text1"/>
        </w:rPr>
        <w:t>Igna</w:t>
      </w:r>
      <w:r w:rsidRPr="004B305C">
        <w:rPr>
          <w:color w:val="000000" w:themeColor="text1"/>
        </w:rPr>
        <w:t>tieff</w:t>
      </w:r>
      <w:proofErr w:type="spellEnd"/>
      <w:r w:rsidRPr="004B305C">
        <w:rPr>
          <w:color w:val="000000" w:themeColor="text1"/>
        </w:rPr>
        <w:t xml:space="preserve">, Michael.  2004.  </w:t>
      </w:r>
      <w:r w:rsidRPr="004B305C">
        <w:rPr>
          <w:i/>
          <w:iCs/>
          <w:color w:val="000000" w:themeColor="text1"/>
        </w:rPr>
        <w:t>The Lesser</w:t>
      </w:r>
      <w:r>
        <w:rPr>
          <w:i/>
          <w:iCs/>
          <w:color w:val="000000" w:themeColor="text1"/>
        </w:rPr>
        <w:t xml:space="preserve"> Evil: Political Ethics in an Age of Terror</w:t>
      </w:r>
      <w:r>
        <w:rPr>
          <w:color w:val="000000" w:themeColor="text1"/>
        </w:rPr>
        <w:t>.  Princeton, NJ: Princeton University Press.</w:t>
      </w:r>
    </w:p>
    <w:p w:rsidR="00B3077F" w:rsidRDefault="00665402" w:rsidP="00B3077F">
      <w:pPr>
        <w:spacing w:line="480" w:lineRule="auto"/>
        <w:ind w:left="720" w:hanging="720"/>
        <w:rPr>
          <w:color w:val="000000" w:themeColor="text1"/>
        </w:rPr>
      </w:pPr>
      <w:proofErr w:type="spellStart"/>
      <w:proofErr w:type="gramStart"/>
      <w:r>
        <w:rPr>
          <w:color w:val="000000" w:themeColor="text1"/>
        </w:rPr>
        <w:t>Janoff-Bulman</w:t>
      </w:r>
      <w:proofErr w:type="spellEnd"/>
      <w:r>
        <w:rPr>
          <w:color w:val="000000" w:themeColor="text1"/>
        </w:rPr>
        <w:t>, R. 2007.</w:t>
      </w:r>
      <w:proofErr w:type="gramEnd"/>
      <w:r>
        <w:rPr>
          <w:color w:val="000000" w:themeColor="text1"/>
        </w:rPr>
        <w:t xml:space="preserve"> Erroneous Assumptions: Popular Belief in the Effectiveness of Torture Interrogation. </w:t>
      </w:r>
      <w:r>
        <w:rPr>
          <w:i/>
          <w:iCs/>
          <w:color w:val="000000" w:themeColor="text1"/>
        </w:rPr>
        <w:t>Peace and Conflict</w:t>
      </w:r>
      <w:r>
        <w:rPr>
          <w:color w:val="000000" w:themeColor="text1"/>
        </w:rPr>
        <w:t xml:space="preserve"> 13:4, 429-435.</w:t>
      </w:r>
    </w:p>
    <w:p w:rsidR="00B3077F" w:rsidRPr="00B72461" w:rsidRDefault="00B3077F" w:rsidP="00705544">
      <w:pPr>
        <w:spacing w:line="480" w:lineRule="auto"/>
        <w:ind w:left="720" w:hanging="720"/>
        <w:rPr>
          <w:color w:val="000000" w:themeColor="text1"/>
        </w:rPr>
      </w:pPr>
      <w:r>
        <w:rPr>
          <w:color w:val="000000" w:themeColor="text1"/>
        </w:rPr>
        <w:t xml:space="preserve">Johnson, </w:t>
      </w:r>
      <w:r w:rsidR="007F422C">
        <w:rPr>
          <w:color w:val="000000" w:themeColor="text1"/>
        </w:rPr>
        <w:t>David Blake, and John Barry Ryan. 2012. “The Interrogation Game.” Working paper.</w:t>
      </w:r>
    </w:p>
    <w:p w:rsidR="00626873" w:rsidRPr="00B72461" w:rsidRDefault="00665402" w:rsidP="00547962">
      <w:pPr>
        <w:spacing w:line="480" w:lineRule="auto"/>
        <w:ind w:left="720" w:hanging="720"/>
        <w:rPr>
          <w:color w:val="000000" w:themeColor="text1"/>
        </w:rPr>
      </w:pPr>
      <w:proofErr w:type="spellStart"/>
      <w:r>
        <w:rPr>
          <w:color w:val="000000" w:themeColor="text1"/>
        </w:rPr>
        <w:t>Kalyvas</w:t>
      </w:r>
      <w:proofErr w:type="spellEnd"/>
      <w:r>
        <w:rPr>
          <w:color w:val="000000" w:themeColor="text1"/>
        </w:rPr>
        <w:t xml:space="preserve">, </w:t>
      </w:r>
      <w:proofErr w:type="spellStart"/>
      <w:r>
        <w:rPr>
          <w:color w:val="000000" w:themeColor="text1"/>
        </w:rPr>
        <w:t>Stathis</w:t>
      </w:r>
      <w:proofErr w:type="spellEnd"/>
      <w:r>
        <w:rPr>
          <w:color w:val="000000" w:themeColor="text1"/>
        </w:rPr>
        <w:t>, and Matthew Kocher. 2007. “How Free is ‘Free Riding’ in Civil Wars</w:t>
      </w:r>
      <w:proofErr w:type="gramStart"/>
      <w:r>
        <w:rPr>
          <w:color w:val="000000" w:themeColor="text1"/>
        </w:rPr>
        <w:t>?:</w:t>
      </w:r>
      <w:proofErr w:type="gramEnd"/>
      <w:r>
        <w:rPr>
          <w:color w:val="000000" w:themeColor="text1"/>
        </w:rPr>
        <w:t xml:space="preserve"> Violence, Insurgency, and the Collective Action Problem.” World Politics 59(2)</w:t>
      </w:r>
      <w:proofErr w:type="gramStart"/>
      <w:r>
        <w:rPr>
          <w:color w:val="000000" w:themeColor="text1"/>
        </w:rPr>
        <w:t>:177</w:t>
      </w:r>
      <w:proofErr w:type="gramEnd"/>
      <w:r>
        <w:rPr>
          <w:color w:val="000000" w:themeColor="text1"/>
        </w:rPr>
        <w:t>-216.</w:t>
      </w:r>
    </w:p>
    <w:p w:rsidR="007B22EB" w:rsidRPr="00B72461" w:rsidRDefault="00665402" w:rsidP="00547962">
      <w:pPr>
        <w:spacing w:line="480" w:lineRule="auto"/>
        <w:ind w:left="720" w:hanging="720"/>
        <w:rPr>
          <w:rStyle w:val="apple-style-span"/>
        </w:rPr>
      </w:pPr>
      <w:r>
        <w:rPr>
          <w:rStyle w:val="apple-style-span"/>
          <w:color w:val="000000" w:themeColor="text1"/>
          <w:shd w:val="clear" w:color="auto" w:fill="FFFFFF"/>
        </w:rPr>
        <w:lastRenderedPageBreak/>
        <w:t>Keith, Linda Camp. 2002.</w:t>
      </w:r>
      <w:r>
        <w:rPr>
          <w:rStyle w:val="apple-converted-space"/>
          <w:color w:val="000000" w:themeColor="text1"/>
          <w:shd w:val="clear" w:color="auto" w:fill="FFFFFF"/>
        </w:rPr>
        <w:t> </w:t>
      </w:r>
      <w:hyperlink r:id="rId14" w:history="1">
        <w:r>
          <w:rPr>
            <w:rStyle w:val="Hyperlink"/>
            <w:color w:val="000000" w:themeColor="text1"/>
            <w:u w:val="none"/>
            <w:shd w:val="clear" w:color="auto" w:fill="FFFFFF"/>
          </w:rPr>
          <w:t>Constitutional Provisions for Individual Human Rights (1976-1996): Are They More than Mere 'Window Dressing?</w:t>
        </w:r>
        <w:r>
          <w:rPr>
            <w:rStyle w:val="apple-converted-space"/>
            <w:color w:val="000000" w:themeColor="text1"/>
            <w:shd w:val="clear" w:color="auto" w:fill="FFFFFF"/>
          </w:rPr>
          <w:t> </w:t>
        </w:r>
        <w:r>
          <w:rPr>
            <w:rStyle w:val="Hyperlink"/>
            <w:i/>
            <w:iCs/>
            <w:color w:val="000000" w:themeColor="text1"/>
            <w:u w:val="none"/>
            <w:shd w:val="clear" w:color="auto" w:fill="FFFFFF"/>
          </w:rPr>
          <w:t>Political Research Quarterly</w:t>
        </w:r>
        <w:r>
          <w:rPr>
            <w:rStyle w:val="apple-converted-space"/>
            <w:color w:val="000000" w:themeColor="text1"/>
            <w:shd w:val="clear" w:color="auto" w:fill="FFFFFF"/>
          </w:rPr>
          <w:t> </w:t>
        </w:r>
        <w:r>
          <w:rPr>
            <w:rStyle w:val="Hyperlink"/>
            <w:color w:val="000000" w:themeColor="text1"/>
            <w:u w:val="none"/>
            <w:shd w:val="clear" w:color="auto" w:fill="FFFFFF"/>
          </w:rPr>
          <w:t>55: 111-143.</w:t>
        </w:r>
      </w:hyperlink>
    </w:p>
    <w:p w:rsidR="00626873" w:rsidRPr="00B72461" w:rsidRDefault="00D55238" w:rsidP="00547962">
      <w:pPr>
        <w:spacing w:line="480" w:lineRule="auto"/>
        <w:ind w:left="720" w:hanging="720"/>
        <w:rPr>
          <w:color w:val="000000" w:themeColor="text1"/>
        </w:rPr>
      </w:pPr>
      <w:r w:rsidRPr="00D55238">
        <w:rPr>
          <w:color w:val="000000" w:themeColor="text1"/>
        </w:rPr>
        <w:t xml:space="preserve">Kocher, Matthew, Thomas </w:t>
      </w:r>
      <w:proofErr w:type="spellStart"/>
      <w:r w:rsidRPr="00D55238">
        <w:rPr>
          <w:color w:val="000000" w:themeColor="text1"/>
        </w:rPr>
        <w:t>Pepinksy</w:t>
      </w:r>
      <w:proofErr w:type="spellEnd"/>
      <w:r w:rsidRPr="00D55238">
        <w:rPr>
          <w:color w:val="000000" w:themeColor="text1"/>
        </w:rPr>
        <w:t xml:space="preserve">, and </w:t>
      </w:r>
      <w:proofErr w:type="spellStart"/>
      <w:r w:rsidRPr="00D55238">
        <w:rPr>
          <w:color w:val="000000" w:themeColor="text1"/>
        </w:rPr>
        <w:t>Stathis</w:t>
      </w:r>
      <w:proofErr w:type="spellEnd"/>
      <w:r w:rsidRPr="00D55238">
        <w:rPr>
          <w:color w:val="000000" w:themeColor="text1"/>
        </w:rPr>
        <w:t xml:space="preserve"> </w:t>
      </w:r>
      <w:proofErr w:type="spellStart"/>
      <w:r w:rsidRPr="00D55238">
        <w:rPr>
          <w:color w:val="000000" w:themeColor="text1"/>
        </w:rPr>
        <w:t>Kalyvas</w:t>
      </w:r>
      <w:proofErr w:type="spellEnd"/>
      <w:r w:rsidRPr="00D55238">
        <w:rPr>
          <w:color w:val="000000" w:themeColor="text1"/>
        </w:rPr>
        <w:t xml:space="preserve">. Forthcoming. Bombing as an Instrument of Counterinsurgency in the Vietnam War. </w:t>
      </w:r>
      <w:proofErr w:type="gramStart"/>
      <w:r w:rsidRPr="00D55238">
        <w:rPr>
          <w:i/>
          <w:iCs/>
          <w:color w:val="000000" w:themeColor="text1"/>
        </w:rPr>
        <w:t>American Journal of Political Science</w:t>
      </w:r>
      <w:r w:rsidR="00665402">
        <w:rPr>
          <w:color w:val="000000" w:themeColor="text1"/>
          <w:u w:val="single"/>
        </w:rPr>
        <w:t>.</w:t>
      </w:r>
      <w:proofErr w:type="gramEnd"/>
    </w:p>
    <w:p w:rsidR="00AC2F45" w:rsidRPr="00B72461" w:rsidRDefault="00D55238" w:rsidP="00547962">
      <w:pPr>
        <w:spacing w:line="480" w:lineRule="auto"/>
        <w:ind w:left="720" w:hanging="720"/>
        <w:rPr>
          <w:color w:val="000000" w:themeColor="text1"/>
        </w:rPr>
      </w:pPr>
      <w:r w:rsidRPr="00D55238">
        <w:rPr>
          <w:color w:val="000000" w:themeColor="text1"/>
        </w:rPr>
        <w:t xml:space="preserve">King, Gary, Robert </w:t>
      </w:r>
      <w:proofErr w:type="spellStart"/>
      <w:r w:rsidRPr="00D55238">
        <w:rPr>
          <w:color w:val="000000" w:themeColor="text1"/>
        </w:rPr>
        <w:t>Keohane</w:t>
      </w:r>
      <w:proofErr w:type="spellEnd"/>
      <w:r w:rsidRPr="00D55238">
        <w:rPr>
          <w:color w:val="000000" w:themeColor="text1"/>
        </w:rPr>
        <w:t xml:space="preserve">, and Sidney </w:t>
      </w:r>
      <w:proofErr w:type="spellStart"/>
      <w:r w:rsidRPr="00D55238">
        <w:rPr>
          <w:color w:val="000000" w:themeColor="text1"/>
        </w:rPr>
        <w:t>Verba</w:t>
      </w:r>
      <w:proofErr w:type="spellEnd"/>
      <w:r w:rsidRPr="00D55238">
        <w:rPr>
          <w:color w:val="000000" w:themeColor="text1"/>
        </w:rPr>
        <w:t xml:space="preserve">. 1994. </w:t>
      </w:r>
      <w:r w:rsidRPr="00D55238">
        <w:rPr>
          <w:i/>
          <w:color w:val="000000" w:themeColor="text1"/>
        </w:rPr>
        <w:t>Designing Social Inquiry</w:t>
      </w:r>
      <w:r w:rsidRPr="00D55238">
        <w:rPr>
          <w:color w:val="000000" w:themeColor="text1"/>
        </w:rPr>
        <w:t xml:space="preserve">. Princeton: Princeton University Press. </w:t>
      </w:r>
    </w:p>
    <w:p w:rsidR="0089185D" w:rsidRPr="00B72461" w:rsidRDefault="00D55238" w:rsidP="0089185D">
      <w:pPr>
        <w:spacing w:line="480" w:lineRule="auto"/>
        <w:ind w:left="720" w:hanging="720"/>
        <w:rPr>
          <w:color w:val="000000" w:themeColor="text1"/>
        </w:rPr>
      </w:pPr>
      <w:proofErr w:type="spellStart"/>
      <w:r w:rsidRPr="00D55238">
        <w:rPr>
          <w:color w:val="000000" w:themeColor="text1"/>
        </w:rPr>
        <w:t>Krain</w:t>
      </w:r>
      <w:proofErr w:type="spellEnd"/>
      <w:r w:rsidRPr="00D55238">
        <w:rPr>
          <w:color w:val="000000" w:themeColor="text1"/>
        </w:rPr>
        <w:t xml:space="preserve">, Matthew, and Marissa Edson Myers. 1997. </w:t>
      </w:r>
      <w:proofErr w:type="gramStart"/>
      <w:r w:rsidRPr="00D55238">
        <w:rPr>
          <w:color w:val="000000" w:themeColor="text1"/>
        </w:rPr>
        <w:t>Democracy</w:t>
      </w:r>
      <w:proofErr w:type="gramEnd"/>
      <w:r w:rsidRPr="00D55238">
        <w:rPr>
          <w:color w:val="000000" w:themeColor="text1"/>
        </w:rPr>
        <w:t xml:space="preserve"> and Civil War: A Note on the Democratic Peace Proposition. </w:t>
      </w:r>
      <w:proofErr w:type="gramStart"/>
      <w:r w:rsidRPr="00D55238">
        <w:rPr>
          <w:i/>
          <w:color w:val="000000" w:themeColor="text1"/>
        </w:rPr>
        <w:t>International Interactions</w:t>
      </w:r>
      <w:r w:rsidRPr="00D55238">
        <w:rPr>
          <w:color w:val="000000" w:themeColor="text1"/>
        </w:rPr>
        <w:t xml:space="preserve"> 23 (1): 109 –18.</w:t>
      </w:r>
      <w:proofErr w:type="gramEnd"/>
    </w:p>
    <w:p w:rsidR="00C07EFE" w:rsidRPr="00B72461" w:rsidRDefault="00D55238" w:rsidP="00547962">
      <w:pPr>
        <w:spacing w:line="480" w:lineRule="auto"/>
        <w:ind w:left="720" w:hanging="720"/>
        <w:rPr>
          <w:color w:val="000000" w:themeColor="text1"/>
        </w:rPr>
      </w:pPr>
      <w:proofErr w:type="spellStart"/>
      <w:r w:rsidRPr="00D55238">
        <w:rPr>
          <w:color w:val="000000" w:themeColor="text1"/>
        </w:rPr>
        <w:t>Kydd</w:t>
      </w:r>
      <w:proofErr w:type="spellEnd"/>
      <w:r w:rsidRPr="00D55238">
        <w:rPr>
          <w:color w:val="000000" w:themeColor="text1"/>
        </w:rPr>
        <w:t xml:space="preserve">, Andrew, and Barbara Walter. 2006. The Strategies of Terrorism. </w:t>
      </w:r>
      <w:proofErr w:type="gramStart"/>
      <w:r w:rsidRPr="00D55238">
        <w:rPr>
          <w:i/>
          <w:color w:val="000000" w:themeColor="text1"/>
        </w:rPr>
        <w:t>International Security</w:t>
      </w:r>
      <w:r w:rsidRPr="00D55238">
        <w:rPr>
          <w:color w:val="000000" w:themeColor="text1"/>
        </w:rPr>
        <w:t xml:space="preserve"> 31:1, 49-79.</w:t>
      </w:r>
      <w:proofErr w:type="gramEnd"/>
    </w:p>
    <w:p w:rsidR="003010FD" w:rsidRPr="00B72461" w:rsidRDefault="00D55238" w:rsidP="00547962">
      <w:pPr>
        <w:spacing w:line="480" w:lineRule="auto"/>
        <w:ind w:left="720" w:hanging="720"/>
        <w:rPr>
          <w:color w:val="000000" w:themeColor="text1"/>
        </w:rPr>
      </w:pPr>
      <w:r w:rsidRPr="00D55238">
        <w:rPr>
          <w:color w:val="000000" w:themeColor="text1"/>
        </w:rPr>
        <w:t xml:space="preserve">Lake, David A. 2002. Rational Extremism: Understanding Terrorism in the Twenty-First Century. </w:t>
      </w:r>
      <w:proofErr w:type="gramStart"/>
      <w:r w:rsidRPr="00D55238">
        <w:rPr>
          <w:i/>
          <w:color w:val="000000" w:themeColor="text1"/>
        </w:rPr>
        <w:t>Dialog-IO</w:t>
      </w:r>
      <w:r w:rsidRPr="00D55238">
        <w:rPr>
          <w:color w:val="000000" w:themeColor="text1"/>
        </w:rPr>
        <w:t>, 15-29.</w:t>
      </w:r>
      <w:proofErr w:type="gramEnd"/>
    </w:p>
    <w:p w:rsidR="00FD22D2" w:rsidRPr="00B72461" w:rsidRDefault="00D55238" w:rsidP="00547962">
      <w:pPr>
        <w:spacing w:line="480" w:lineRule="auto"/>
        <w:ind w:left="720" w:hanging="720"/>
        <w:rPr>
          <w:color w:val="000000" w:themeColor="text1"/>
        </w:rPr>
      </w:pPr>
      <w:r w:rsidRPr="00D55238">
        <w:rPr>
          <w:color w:val="000000" w:themeColor="text1"/>
        </w:rPr>
        <w:t xml:space="preserve">Locke, John. 1689/2003. </w:t>
      </w:r>
      <w:proofErr w:type="gramStart"/>
      <w:r w:rsidRPr="00D55238">
        <w:rPr>
          <w:i/>
          <w:color w:val="000000" w:themeColor="text1"/>
        </w:rPr>
        <w:t>Two Treatises on Government</w:t>
      </w:r>
      <w:r w:rsidRPr="00D55238">
        <w:rPr>
          <w:color w:val="000000" w:themeColor="text1"/>
        </w:rPr>
        <w:t>.</w:t>
      </w:r>
      <w:proofErr w:type="gramEnd"/>
      <w:r w:rsidRPr="00D55238">
        <w:rPr>
          <w:color w:val="000000" w:themeColor="text1"/>
        </w:rPr>
        <w:t xml:space="preserve"> Edited by Ian Shapiro. New Haven: Yale University Press. </w:t>
      </w:r>
    </w:p>
    <w:p w:rsidR="00C8796C" w:rsidRPr="00B72461" w:rsidRDefault="00D55238" w:rsidP="00C8796C">
      <w:pPr>
        <w:spacing w:line="480" w:lineRule="auto"/>
        <w:ind w:left="720" w:hanging="720"/>
        <w:rPr>
          <w:color w:val="000000" w:themeColor="text1"/>
        </w:rPr>
      </w:pPr>
      <w:proofErr w:type="spellStart"/>
      <w:r w:rsidRPr="00D55238">
        <w:rPr>
          <w:color w:val="000000" w:themeColor="text1"/>
        </w:rPr>
        <w:t>Lyall</w:t>
      </w:r>
      <w:proofErr w:type="spellEnd"/>
      <w:r w:rsidRPr="00D55238">
        <w:rPr>
          <w:color w:val="000000" w:themeColor="text1"/>
        </w:rPr>
        <w:t xml:space="preserve">, Jason. 2009. Does Indiscriminate Violence Incite Insurgent Attacks? </w:t>
      </w:r>
      <w:proofErr w:type="gramStart"/>
      <w:r w:rsidRPr="00D55238">
        <w:rPr>
          <w:color w:val="000000" w:themeColor="text1"/>
        </w:rPr>
        <w:t>Evidence from Chechnya.</w:t>
      </w:r>
      <w:proofErr w:type="gramEnd"/>
      <w:r w:rsidRPr="00D55238">
        <w:rPr>
          <w:color w:val="000000" w:themeColor="text1"/>
        </w:rPr>
        <w:t xml:space="preserve"> </w:t>
      </w:r>
      <w:proofErr w:type="gramStart"/>
      <w:r w:rsidRPr="00D55238">
        <w:rPr>
          <w:i/>
          <w:color w:val="000000" w:themeColor="text1"/>
        </w:rPr>
        <w:t>Journal of Conflict Resolution</w:t>
      </w:r>
      <w:r w:rsidRPr="00D55238">
        <w:rPr>
          <w:color w:val="000000" w:themeColor="text1"/>
        </w:rPr>
        <w:t xml:space="preserve"> 53:3, 331-362.</w:t>
      </w:r>
      <w:proofErr w:type="gramEnd"/>
    </w:p>
    <w:p w:rsidR="000610C8" w:rsidRDefault="00D55238" w:rsidP="00D95A80">
      <w:pPr>
        <w:spacing w:line="480" w:lineRule="auto"/>
        <w:ind w:left="720" w:hanging="720"/>
        <w:rPr>
          <w:color w:val="000000" w:themeColor="text1"/>
        </w:rPr>
      </w:pPr>
      <w:r w:rsidRPr="00D55238">
        <w:rPr>
          <w:color w:val="000000" w:themeColor="text1"/>
        </w:rPr>
        <w:t xml:space="preserve">Marshall, Monty and Keith </w:t>
      </w:r>
      <w:proofErr w:type="spellStart"/>
      <w:r w:rsidRPr="00D55238">
        <w:rPr>
          <w:color w:val="000000" w:themeColor="text1"/>
        </w:rPr>
        <w:t>Jaggers</w:t>
      </w:r>
      <w:proofErr w:type="spellEnd"/>
      <w:r w:rsidRPr="00D55238">
        <w:rPr>
          <w:color w:val="000000" w:themeColor="text1"/>
        </w:rPr>
        <w:t xml:space="preserve"> and Ted </w:t>
      </w:r>
      <w:proofErr w:type="spellStart"/>
      <w:r w:rsidRPr="00D55238">
        <w:rPr>
          <w:color w:val="000000" w:themeColor="text1"/>
        </w:rPr>
        <w:t>Gurr</w:t>
      </w:r>
      <w:proofErr w:type="spellEnd"/>
      <w:r w:rsidRPr="00D55238">
        <w:rPr>
          <w:color w:val="000000" w:themeColor="text1"/>
        </w:rPr>
        <w:t xml:space="preserve">. 2006. Polity IV Project: Political regime characteristics and transitions, 1800-2004. http://www.cidcm.umd.edu/polity/. Accessed August </w:t>
      </w:r>
      <w:proofErr w:type="gramStart"/>
      <w:r w:rsidRPr="00D55238">
        <w:rPr>
          <w:color w:val="000000" w:themeColor="text1"/>
        </w:rPr>
        <w:t>25 ,</w:t>
      </w:r>
      <w:proofErr w:type="gramEnd"/>
      <w:r w:rsidRPr="00D55238">
        <w:rPr>
          <w:color w:val="000000" w:themeColor="text1"/>
        </w:rPr>
        <w:t xml:space="preserve"> 2011.</w:t>
      </w:r>
    </w:p>
    <w:p w:rsidR="000610C8" w:rsidRPr="000610C8" w:rsidRDefault="000610C8" w:rsidP="00523093">
      <w:pPr>
        <w:spacing w:line="480" w:lineRule="auto"/>
        <w:ind w:left="720" w:hanging="720"/>
        <w:rPr>
          <w:color w:val="000000" w:themeColor="text1"/>
        </w:rPr>
      </w:pPr>
      <w:r>
        <w:rPr>
          <w:color w:val="000000" w:themeColor="text1"/>
        </w:rPr>
        <w:t xml:space="preserve">Mayer, Jane. 2008. </w:t>
      </w:r>
      <w:r>
        <w:rPr>
          <w:i/>
          <w:color w:val="000000" w:themeColor="text1"/>
        </w:rPr>
        <w:t xml:space="preserve">The Dark Side. </w:t>
      </w:r>
      <w:r>
        <w:rPr>
          <w:color w:val="000000" w:themeColor="text1"/>
        </w:rPr>
        <w:t>New York: Doubleday.</w:t>
      </w:r>
    </w:p>
    <w:p w:rsidR="005E5D98" w:rsidRPr="00B72461" w:rsidRDefault="00D55238" w:rsidP="00523093">
      <w:pPr>
        <w:spacing w:line="480" w:lineRule="auto"/>
        <w:ind w:left="720" w:hanging="720"/>
        <w:rPr>
          <w:color w:val="000000" w:themeColor="text1"/>
        </w:rPr>
      </w:pPr>
      <w:proofErr w:type="spellStart"/>
      <w:r w:rsidRPr="00D55238">
        <w:rPr>
          <w:color w:val="000000" w:themeColor="text1"/>
        </w:rPr>
        <w:lastRenderedPageBreak/>
        <w:t>McGarrell</w:t>
      </w:r>
      <w:proofErr w:type="spellEnd"/>
      <w:r w:rsidRPr="00D55238">
        <w:rPr>
          <w:color w:val="000000" w:themeColor="text1"/>
        </w:rPr>
        <w:t xml:space="preserve">, Edmund F., Joshua D. </w:t>
      </w:r>
      <w:proofErr w:type="spellStart"/>
      <w:r w:rsidRPr="00D55238">
        <w:rPr>
          <w:color w:val="000000" w:themeColor="text1"/>
        </w:rPr>
        <w:t>Freilich</w:t>
      </w:r>
      <w:proofErr w:type="spellEnd"/>
      <w:r w:rsidRPr="00D55238">
        <w:rPr>
          <w:color w:val="000000" w:themeColor="text1"/>
        </w:rPr>
        <w:t xml:space="preserve"> and Steven </w:t>
      </w:r>
      <w:proofErr w:type="spellStart"/>
      <w:r w:rsidRPr="00D55238">
        <w:rPr>
          <w:color w:val="000000" w:themeColor="text1"/>
        </w:rPr>
        <w:t>Chermak</w:t>
      </w:r>
      <w:proofErr w:type="spellEnd"/>
      <w:r w:rsidRPr="00D55238">
        <w:rPr>
          <w:color w:val="000000" w:themeColor="text1"/>
        </w:rPr>
        <w:t xml:space="preserve">.  2007.  Intelligence-led policing as a framework for responding to terrorism.  </w:t>
      </w:r>
      <w:r w:rsidRPr="00D55238">
        <w:rPr>
          <w:i/>
          <w:color w:val="000000" w:themeColor="text1"/>
        </w:rPr>
        <w:t xml:space="preserve">Journal of Contemporary Criminal Justice </w:t>
      </w:r>
      <w:r w:rsidRPr="00D55238">
        <w:rPr>
          <w:color w:val="000000" w:themeColor="text1"/>
        </w:rPr>
        <w:t>23(2): 142-158.</w:t>
      </w:r>
    </w:p>
    <w:p w:rsidR="00AC2F45" w:rsidRPr="00B72461" w:rsidRDefault="00D55238" w:rsidP="00547962">
      <w:pPr>
        <w:spacing w:line="480" w:lineRule="auto"/>
        <w:ind w:left="720" w:hanging="720"/>
        <w:rPr>
          <w:color w:val="000000" w:themeColor="text1"/>
        </w:rPr>
      </w:pPr>
      <w:proofErr w:type="spellStart"/>
      <w:proofErr w:type="gramStart"/>
      <w:r w:rsidRPr="00D55238">
        <w:rPr>
          <w:color w:val="000000" w:themeColor="text1"/>
        </w:rPr>
        <w:t>Mickolus</w:t>
      </w:r>
      <w:proofErr w:type="spellEnd"/>
      <w:r w:rsidRPr="00D55238">
        <w:rPr>
          <w:color w:val="000000" w:themeColor="text1"/>
        </w:rPr>
        <w:t xml:space="preserve">, Edward F; Todd Sandler; Jean M. Murdock &amp; Peter </w:t>
      </w:r>
      <w:proofErr w:type="spellStart"/>
      <w:r w:rsidRPr="00D55238">
        <w:rPr>
          <w:color w:val="000000" w:themeColor="text1"/>
        </w:rPr>
        <w:t>Flemming</w:t>
      </w:r>
      <w:proofErr w:type="spellEnd"/>
      <w:r w:rsidRPr="00D55238">
        <w:rPr>
          <w:color w:val="000000" w:themeColor="text1"/>
        </w:rPr>
        <w:t>.</w:t>
      </w:r>
      <w:proofErr w:type="gramEnd"/>
      <w:r w:rsidRPr="00D55238">
        <w:rPr>
          <w:color w:val="000000" w:themeColor="text1"/>
        </w:rPr>
        <w:t xml:space="preserve"> 2009. </w:t>
      </w:r>
      <w:r w:rsidRPr="00D55238">
        <w:rPr>
          <w:i/>
          <w:iCs/>
          <w:color w:val="000000" w:themeColor="text1"/>
        </w:rPr>
        <w:t>International Terrorism: Attributes of Terrorist Events, 1968–2007</w:t>
      </w:r>
      <w:r w:rsidRPr="00D55238">
        <w:rPr>
          <w:color w:val="000000" w:themeColor="text1"/>
        </w:rPr>
        <w:t xml:space="preserve"> Dunn </w:t>
      </w:r>
      <w:proofErr w:type="spellStart"/>
      <w:r w:rsidRPr="00D55238">
        <w:rPr>
          <w:color w:val="000000" w:themeColor="text1"/>
        </w:rPr>
        <w:t>Loring</w:t>
      </w:r>
      <w:proofErr w:type="spellEnd"/>
      <w:r w:rsidRPr="00D55238">
        <w:rPr>
          <w:color w:val="000000" w:themeColor="text1"/>
        </w:rPr>
        <w:t xml:space="preserve">, VA: </w:t>
      </w:r>
      <w:proofErr w:type="spellStart"/>
      <w:r w:rsidRPr="00D55238">
        <w:rPr>
          <w:color w:val="000000" w:themeColor="text1"/>
        </w:rPr>
        <w:t>Vinyard</w:t>
      </w:r>
      <w:proofErr w:type="spellEnd"/>
      <w:r w:rsidRPr="00D55238">
        <w:rPr>
          <w:color w:val="000000" w:themeColor="text1"/>
        </w:rPr>
        <w:t xml:space="preserve"> Software, Inc.</w:t>
      </w:r>
    </w:p>
    <w:p w:rsidR="00626873" w:rsidRPr="00B72461" w:rsidRDefault="00D55238" w:rsidP="00D15F00">
      <w:pPr>
        <w:spacing w:line="480" w:lineRule="auto"/>
        <w:ind w:left="720" w:hanging="720"/>
        <w:rPr>
          <w:color w:val="000000" w:themeColor="text1"/>
        </w:rPr>
      </w:pPr>
      <w:proofErr w:type="spellStart"/>
      <w:r w:rsidRPr="00D55238">
        <w:rPr>
          <w:color w:val="000000" w:themeColor="text1"/>
        </w:rPr>
        <w:t>Neumayer</w:t>
      </w:r>
      <w:proofErr w:type="spellEnd"/>
      <w:r w:rsidRPr="00D55238">
        <w:rPr>
          <w:color w:val="000000" w:themeColor="text1"/>
        </w:rPr>
        <w:t xml:space="preserve">, Eric. 2005. Do International Human Rights Treaties Improve Respect for Human Rights? </w:t>
      </w:r>
      <w:proofErr w:type="gramStart"/>
      <w:r w:rsidRPr="00D55238">
        <w:rPr>
          <w:i/>
          <w:iCs/>
          <w:color w:val="000000" w:themeColor="text1"/>
        </w:rPr>
        <w:t>Journal of Conflict Resolution</w:t>
      </w:r>
      <w:r w:rsidRPr="00D55238">
        <w:rPr>
          <w:color w:val="000000" w:themeColor="text1"/>
        </w:rPr>
        <w:t xml:space="preserve"> 49:6, 925-953.</w:t>
      </w:r>
      <w:proofErr w:type="gramEnd"/>
    </w:p>
    <w:p w:rsidR="003C696F" w:rsidRPr="00B72461" w:rsidRDefault="00D55238">
      <w:pPr>
        <w:spacing w:line="480" w:lineRule="auto"/>
        <w:ind w:left="720" w:hanging="720"/>
        <w:rPr>
          <w:color w:val="000000" w:themeColor="text1"/>
        </w:rPr>
      </w:pPr>
      <w:r w:rsidRPr="00D55238">
        <w:rPr>
          <w:color w:val="000000" w:themeColor="text1"/>
        </w:rPr>
        <w:t xml:space="preserve">“Newsweek Poll: Americans Are Mixed on U.S. Muslims.” 2007. </w:t>
      </w:r>
      <w:r w:rsidRPr="00D55238">
        <w:rPr>
          <w:i/>
          <w:iCs/>
          <w:color w:val="000000" w:themeColor="text1"/>
        </w:rPr>
        <w:t>PR Newswire</w:t>
      </w:r>
      <w:r w:rsidRPr="00D55238">
        <w:rPr>
          <w:color w:val="000000" w:themeColor="text1"/>
        </w:rPr>
        <w:t xml:space="preserve">. July 20. Available at: </w:t>
      </w:r>
      <w:hyperlink r:id="rId15" w:history="1">
        <w:r w:rsidR="00665402">
          <w:rPr>
            <w:rStyle w:val="Hyperlink"/>
            <w:color w:val="000000" w:themeColor="text1"/>
          </w:rPr>
          <w:t>http://www.prnewswire.com/news-releases/newsweek-poll-americans-are-mixed-on-us-muslims-52756242.html</w:t>
        </w:r>
      </w:hyperlink>
    </w:p>
    <w:p w:rsidR="00E779BB" w:rsidRPr="00D95A80" w:rsidRDefault="00D15F00" w:rsidP="00D95A80">
      <w:pPr>
        <w:spacing w:line="480" w:lineRule="auto"/>
        <w:ind w:left="720" w:hanging="720"/>
        <w:rPr>
          <w:b/>
          <w:bCs/>
        </w:rPr>
      </w:pPr>
      <w:r>
        <w:t xml:space="preserve">Oswald, Debra L.  2005.  “Understanding Anti-Arab Reactions Post 9-11: The Role of Threats, Social Categories, and Personal Ideologies.”  </w:t>
      </w:r>
      <w:proofErr w:type="gramStart"/>
      <w:r w:rsidRPr="0005240A">
        <w:rPr>
          <w:i/>
        </w:rPr>
        <w:t>Journal of Applied Social Psychology</w:t>
      </w:r>
      <w:r>
        <w:t>.</w:t>
      </w:r>
      <w:proofErr w:type="gramEnd"/>
      <w:r>
        <w:t xml:space="preserve">  35(9): 1775-1799.</w:t>
      </w:r>
    </w:p>
    <w:p w:rsidR="00720FB7" w:rsidRPr="00B72461" w:rsidRDefault="00D55238">
      <w:pPr>
        <w:pStyle w:val="Heading1"/>
        <w:spacing w:before="0" w:line="480" w:lineRule="auto"/>
        <w:ind w:left="720" w:hanging="720"/>
        <w:rPr>
          <w:rFonts w:ascii="Times New Roman" w:hAnsi="Times New Roman" w:cs="Times New Roman"/>
          <w:b w:val="0"/>
          <w:bCs w:val="0"/>
          <w:color w:val="000000" w:themeColor="text1"/>
          <w:sz w:val="24"/>
          <w:szCs w:val="24"/>
          <w:shd w:val="clear" w:color="auto" w:fill="FFFFFF"/>
        </w:rPr>
      </w:pPr>
      <w:r w:rsidRPr="00D55238">
        <w:rPr>
          <w:rFonts w:ascii="Times New Roman" w:hAnsi="Times New Roman" w:cs="Times New Roman"/>
          <w:b w:val="0"/>
          <w:bCs w:val="0"/>
          <w:color w:val="000000" w:themeColor="text1"/>
          <w:sz w:val="24"/>
          <w:szCs w:val="24"/>
          <w:shd w:val="clear" w:color="auto" w:fill="FFFFFF"/>
        </w:rPr>
        <w:t xml:space="preserve">Parry, John. 2004. </w:t>
      </w:r>
      <w:r w:rsidRPr="00D55238">
        <w:rPr>
          <w:rFonts w:ascii="Times New Roman" w:hAnsi="Times New Roman" w:cs="Times New Roman"/>
          <w:b w:val="0"/>
          <w:bCs w:val="0"/>
          <w:i/>
          <w:color w:val="000000" w:themeColor="text1"/>
          <w:sz w:val="24"/>
          <w:szCs w:val="24"/>
          <w:shd w:val="clear" w:color="auto" w:fill="FFFFFF"/>
        </w:rPr>
        <w:t>Understanding Torture: Law, Violence, and Political Identity</w:t>
      </w:r>
      <w:r w:rsidRPr="00D55238">
        <w:rPr>
          <w:rFonts w:ascii="Times New Roman" w:hAnsi="Times New Roman" w:cs="Times New Roman"/>
          <w:b w:val="0"/>
          <w:bCs w:val="0"/>
          <w:color w:val="000000" w:themeColor="text1"/>
          <w:sz w:val="24"/>
          <w:szCs w:val="24"/>
          <w:shd w:val="clear" w:color="auto" w:fill="FFFFFF"/>
        </w:rPr>
        <w:t xml:space="preserve">. Ann Arbor: University of Michigan Press. </w:t>
      </w:r>
    </w:p>
    <w:p w:rsidR="00720FB7" w:rsidRPr="00B72461" w:rsidRDefault="00D55238">
      <w:pPr>
        <w:spacing w:line="480" w:lineRule="auto"/>
        <w:ind w:left="720" w:hanging="720"/>
        <w:rPr>
          <w:color w:val="000000" w:themeColor="text1"/>
        </w:rPr>
      </w:pPr>
      <w:proofErr w:type="gramStart"/>
      <w:r w:rsidRPr="00D55238">
        <w:rPr>
          <w:color w:val="000000" w:themeColor="text1"/>
        </w:rPr>
        <w:t xml:space="preserve">Piazza, James A. and James </w:t>
      </w:r>
      <w:proofErr w:type="spellStart"/>
      <w:r w:rsidRPr="00D55238">
        <w:rPr>
          <w:color w:val="000000" w:themeColor="text1"/>
        </w:rPr>
        <w:t>Igoe</w:t>
      </w:r>
      <w:proofErr w:type="spellEnd"/>
      <w:r w:rsidRPr="00D55238">
        <w:rPr>
          <w:color w:val="000000" w:themeColor="text1"/>
        </w:rPr>
        <w:t xml:space="preserve"> Walsh.</w:t>
      </w:r>
      <w:proofErr w:type="gramEnd"/>
      <w:r w:rsidRPr="00D55238">
        <w:rPr>
          <w:color w:val="000000" w:themeColor="text1"/>
        </w:rPr>
        <w:t xml:space="preserve"> 2010. Physical Integrity Rights and Terrorism. </w:t>
      </w:r>
      <w:r w:rsidRPr="00D55238">
        <w:rPr>
          <w:i/>
          <w:iCs/>
          <w:color w:val="000000" w:themeColor="text1"/>
        </w:rPr>
        <w:t>PS: Political Science and Politics</w:t>
      </w:r>
      <w:r w:rsidRPr="00D55238">
        <w:rPr>
          <w:color w:val="000000" w:themeColor="text1"/>
        </w:rPr>
        <w:t xml:space="preserve">, July. </w:t>
      </w:r>
    </w:p>
    <w:p w:rsidR="00626873" w:rsidRPr="00B72461" w:rsidRDefault="00D55238">
      <w:pPr>
        <w:spacing w:line="480" w:lineRule="auto"/>
        <w:ind w:left="720" w:hanging="720"/>
        <w:rPr>
          <w:color w:val="000000" w:themeColor="text1"/>
        </w:rPr>
      </w:pPr>
      <w:proofErr w:type="gramStart"/>
      <w:r w:rsidRPr="00D55238">
        <w:rPr>
          <w:color w:val="000000" w:themeColor="text1"/>
        </w:rPr>
        <w:t xml:space="preserve">Piazza, James A. and James </w:t>
      </w:r>
      <w:proofErr w:type="spellStart"/>
      <w:r w:rsidRPr="00D55238">
        <w:rPr>
          <w:color w:val="000000" w:themeColor="text1"/>
        </w:rPr>
        <w:t>Igoe</w:t>
      </w:r>
      <w:proofErr w:type="spellEnd"/>
      <w:r w:rsidRPr="00D55238">
        <w:rPr>
          <w:color w:val="000000" w:themeColor="text1"/>
        </w:rPr>
        <w:t xml:space="preserve"> Walsh.</w:t>
      </w:r>
      <w:proofErr w:type="gramEnd"/>
      <w:r w:rsidRPr="00D55238">
        <w:rPr>
          <w:color w:val="000000" w:themeColor="text1"/>
        </w:rPr>
        <w:t xml:space="preserve"> 2009. Transnational Terror and Human Rights. </w:t>
      </w:r>
      <w:proofErr w:type="gramStart"/>
      <w:r w:rsidRPr="00D55238">
        <w:rPr>
          <w:i/>
          <w:iCs/>
          <w:color w:val="000000" w:themeColor="text1"/>
        </w:rPr>
        <w:t>International Studies Quarterly</w:t>
      </w:r>
      <w:r w:rsidRPr="00D55238">
        <w:rPr>
          <w:color w:val="000000" w:themeColor="text1"/>
        </w:rPr>
        <w:t>.</w:t>
      </w:r>
      <w:proofErr w:type="gramEnd"/>
      <w:r w:rsidRPr="00D55238">
        <w:rPr>
          <w:color w:val="000000" w:themeColor="text1"/>
        </w:rPr>
        <w:t xml:space="preserve"> </w:t>
      </w:r>
      <w:proofErr w:type="gramStart"/>
      <w:r w:rsidRPr="00D55238">
        <w:rPr>
          <w:color w:val="000000" w:themeColor="text1"/>
        </w:rPr>
        <w:t>53: 125-148.</w:t>
      </w:r>
      <w:proofErr w:type="gramEnd"/>
    </w:p>
    <w:p w:rsidR="00626873" w:rsidRPr="00B72461" w:rsidRDefault="00D55238" w:rsidP="00547962">
      <w:pPr>
        <w:spacing w:line="480" w:lineRule="auto"/>
        <w:ind w:left="720" w:hanging="720"/>
        <w:rPr>
          <w:color w:val="000000" w:themeColor="text1"/>
        </w:rPr>
      </w:pPr>
      <w:proofErr w:type="gramStart"/>
      <w:r w:rsidRPr="00D55238">
        <w:rPr>
          <w:color w:val="000000" w:themeColor="text1"/>
        </w:rPr>
        <w:t>Poe, Steven C., and C. Neal Tate.</w:t>
      </w:r>
      <w:proofErr w:type="gramEnd"/>
      <w:r w:rsidRPr="00D55238">
        <w:rPr>
          <w:color w:val="000000" w:themeColor="text1"/>
        </w:rPr>
        <w:t xml:space="preserve"> 1994. Repression of Human Rights to Physical integrity in the 1980s: A Global Analysis. </w:t>
      </w:r>
      <w:proofErr w:type="gramStart"/>
      <w:r w:rsidRPr="00D55238">
        <w:rPr>
          <w:i/>
          <w:iCs/>
          <w:color w:val="000000" w:themeColor="text1"/>
        </w:rPr>
        <w:t>American Political Science Review</w:t>
      </w:r>
      <w:r w:rsidRPr="00D55238">
        <w:rPr>
          <w:color w:val="000000" w:themeColor="text1"/>
        </w:rPr>
        <w:t xml:space="preserve"> 88:4, 853-872.</w:t>
      </w:r>
      <w:proofErr w:type="gramEnd"/>
    </w:p>
    <w:p w:rsidR="00626873" w:rsidRPr="00B72461" w:rsidRDefault="00D55238" w:rsidP="00547962">
      <w:pPr>
        <w:spacing w:line="480" w:lineRule="auto"/>
        <w:ind w:left="720" w:hanging="720"/>
        <w:rPr>
          <w:color w:val="000000" w:themeColor="text1"/>
        </w:rPr>
      </w:pPr>
      <w:proofErr w:type="gramStart"/>
      <w:r w:rsidRPr="00D55238">
        <w:rPr>
          <w:color w:val="000000" w:themeColor="text1"/>
        </w:rPr>
        <w:lastRenderedPageBreak/>
        <w:t>Poe, Steven C., C. Neal Tate, and Linda Camp Keith.</w:t>
      </w:r>
      <w:proofErr w:type="gramEnd"/>
      <w:r w:rsidRPr="00D55238">
        <w:rPr>
          <w:color w:val="000000" w:themeColor="text1"/>
        </w:rPr>
        <w:t xml:space="preserve"> 1999. Repression of the Human Right to Physical integrity Revisited: A Global Cross-National Study Covering the Years 1976-1993. </w:t>
      </w:r>
      <w:proofErr w:type="gramStart"/>
      <w:r w:rsidRPr="00D55238">
        <w:rPr>
          <w:i/>
          <w:iCs/>
          <w:color w:val="000000" w:themeColor="text1"/>
        </w:rPr>
        <w:t>International Studies Quarterly</w:t>
      </w:r>
      <w:r w:rsidRPr="00D55238">
        <w:rPr>
          <w:color w:val="000000" w:themeColor="text1"/>
        </w:rPr>
        <w:t xml:space="preserve"> 43, 291-313.</w:t>
      </w:r>
      <w:proofErr w:type="gramEnd"/>
    </w:p>
    <w:p w:rsidR="00AC2F45" w:rsidRPr="00B72461" w:rsidRDefault="00D55238" w:rsidP="00547962">
      <w:pPr>
        <w:spacing w:line="480" w:lineRule="auto"/>
        <w:ind w:left="720" w:hanging="720"/>
        <w:rPr>
          <w:color w:val="000000" w:themeColor="text1"/>
        </w:rPr>
      </w:pPr>
      <w:proofErr w:type="gramStart"/>
      <w:r w:rsidRPr="00D55238">
        <w:rPr>
          <w:color w:val="000000" w:themeColor="text1"/>
        </w:rPr>
        <w:t>Poe, Steven C. and C. Neal Tate.</w:t>
      </w:r>
      <w:proofErr w:type="gramEnd"/>
      <w:r w:rsidRPr="00D55238">
        <w:rPr>
          <w:color w:val="000000" w:themeColor="text1"/>
        </w:rPr>
        <w:t xml:space="preserve">  1994.  “Repression of Human Rights to Personal Integrity in the 1980s: A Global Analysis.”  </w:t>
      </w:r>
      <w:proofErr w:type="gramStart"/>
      <w:r w:rsidRPr="00D55238">
        <w:rPr>
          <w:i/>
          <w:iCs/>
          <w:color w:val="000000" w:themeColor="text1"/>
        </w:rPr>
        <w:t>American Political Science Review</w:t>
      </w:r>
      <w:r w:rsidRPr="00D55238">
        <w:rPr>
          <w:color w:val="000000" w:themeColor="text1"/>
        </w:rPr>
        <w:t>.</w:t>
      </w:r>
      <w:proofErr w:type="gramEnd"/>
      <w:r w:rsidRPr="00D55238">
        <w:rPr>
          <w:color w:val="000000" w:themeColor="text1"/>
        </w:rPr>
        <w:t xml:space="preserve">  88(4): 853-872.</w:t>
      </w:r>
    </w:p>
    <w:p w:rsidR="00DB3BCC" w:rsidRPr="00B72461" w:rsidRDefault="00D55238" w:rsidP="00547962">
      <w:pPr>
        <w:spacing w:line="480" w:lineRule="auto"/>
        <w:ind w:left="720" w:hanging="720"/>
        <w:rPr>
          <w:color w:val="000000" w:themeColor="text1"/>
        </w:rPr>
      </w:pPr>
      <w:r w:rsidRPr="00D55238">
        <w:rPr>
          <w:color w:val="000000" w:themeColor="text1"/>
        </w:rPr>
        <w:t xml:space="preserve">Posen, Barry. 1984. </w:t>
      </w:r>
      <w:r w:rsidRPr="00D55238">
        <w:rPr>
          <w:i/>
          <w:color w:val="000000" w:themeColor="text1"/>
        </w:rPr>
        <w:t xml:space="preserve">The Sources of Military Doctrine. </w:t>
      </w:r>
      <w:r w:rsidRPr="00D55238">
        <w:rPr>
          <w:color w:val="000000" w:themeColor="text1"/>
        </w:rPr>
        <w:t xml:space="preserve">Ithaca, NY: Cornell University Press. </w:t>
      </w:r>
    </w:p>
    <w:p w:rsidR="007B22EB" w:rsidRPr="00B72461" w:rsidRDefault="00D55238" w:rsidP="007B22EB">
      <w:pPr>
        <w:spacing w:line="480" w:lineRule="auto"/>
        <w:ind w:left="720" w:hanging="720"/>
        <w:rPr>
          <w:color w:val="000000" w:themeColor="text1"/>
        </w:rPr>
      </w:pPr>
      <w:r w:rsidRPr="00D55238">
        <w:rPr>
          <w:color w:val="000000" w:themeColor="text1"/>
        </w:rPr>
        <w:t xml:space="preserve">Powell, Emilia J. and Jeffrey K. </w:t>
      </w:r>
      <w:proofErr w:type="spellStart"/>
      <w:r w:rsidRPr="00D55238">
        <w:rPr>
          <w:color w:val="000000" w:themeColor="text1"/>
        </w:rPr>
        <w:t>Staton</w:t>
      </w:r>
      <w:proofErr w:type="spellEnd"/>
      <w:r w:rsidRPr="00D55238">
        <w:rPr>
          <w:color w:val="000000" w:themeColor="text1"/>
        </w:rPr>
        <w:t xml:space="preserve">. 2009. Domestic Judicial Institutions and Human Rights Treaty Violation. </w:t>
      </w:r>
      <w:r w:rsidRPr="00D55238">
        <w:rPr>
          <w:i/>
          <w:color w:val="000000" w:themeColor="text1"/>
        </w:rPr>
        <w:t>International Studies Quarterly</w:t>
      </w:r>
      <w:r w:rsidRPr="00D55238">
        <w:rPr>
          <w:color w:val="000000" w:themeColor="text1"/>
        </w:rPr>
        <w:t xml:space="preserve"> 53: 149-174.</w:t>
      </w:r>
    </w:p>
    <w:p w:rsidR="008D262C" w:rsidRPr="00B72461" w:rsidRDefault="00D55238" w:rsidP="008D262C">
      <w:pPr>
        <w:spacing w:line="480" w:lineRule="auto"/>
        <w:ind w:left="720" w:hanging="720"/>
        <w:rPr>
          <w:color w:val="000000" w:themeColor="text1"/>
        </w:rPr>
      </w:pPr>
      <w:r w:rsidRPr="00D55238">
        <w:rPr>
          <w:rFonts w:eastAsia="Times New Roman"/>
          <w:bCs/>
          <w:color w:val="000000" w:themeColor="text1"/>
        </w:rPr>
        <w:t xml:space="preserve">PWT 7.0.Alan </w:t>
      </w:r>
      <w:proofErr w:type="spellStart"/>
      <w:r w:rsidRPr="00D55238">
        <w:rPr>
          <w:rFonts w:eastAsia="Times New Roman"/>
          <w:bCs/>
          <w:color w:val="000000" w:themeColor="text1"/>
        </w:rPr>
        <w:t>Heston</w:t>
      </w:r>
      <w:proofErr w:type="spellEnd"/>
      <w:r w:rsidRPr="00D55238">
        <w:rPr>
          <w:rFonts w:eastAsia="Times New Roman"/>
          <w:bCs/>
          <w:color w:val="000000" w:themeColor="text1"/>
        </w:rPr>
        <w:t xml:space="preserve">, Robert Summers and Bettina </w:t>
      </w:r>
      <w:proofErr w:type="spellStart"/>
      <w:r w:rsidRPr="00D55238">
        <w:rPr>
          <w:rFonts w:eastAsia="Times New Roman"/>
          <w:bCs/>
          <w:color w:val="000000" w:themeColor="text1"/>
        </w:rPr>
        <w:t>Aten</w:t>
      </w:r>
      <w:proofErr w:type="spellEnd"/>
      <w:r w:rsidRPr="00D55238">
        <w:rPr>
          <w:rFonts w:eastAsia="Times New Roman"/>
          <w:bCs/>
          <w:color w:val="000000" w:themeColor="text1"/>
        </w:rPr>
        <w:t xml:space="preserve">, Penn World Table Version 7.0, Center for International Comparisons of Production, Income and Prices at the University of Pennsylvania, May 2011. </w:t>
      </w:r>
    </w:p>
    <w:p w:rsidR="00626873" w:rsidRPr="00B72461" w:rsidRDefault="00D55238" w:rsidP="00547962">
      <w:pPr>
        <w:spacing w:line="480" w:lineRule="auto"/>
        <w:ind w:left="720" w:hanging="720"/>
        <w:rPr>
          <w:color w:val="000000" w:themeColor="text1"/>
        </w:rPr>
      </w:pPr>
      <w:r w:rsidRPr="00D55238">
        <w:rPr>
          <w:color w:val="000000" w:themeColor="text1"/>
        </w:rPr>
        <w:t>Regan, Patrick. 2009. “Political Repression as a Public Good.” Working Paper.</w:t>
      </w:r>
    </w:p>
    <w:p w:rsidR="00626873" w:rsidRDefault="00D55238" w:rsidP="00547962">
      <w:pPr>
        <w:spacing w:line="480" w:lineRule="auto"/>
        <w:ind w:left="720" w:hanging="720"/>
        <w:rPr>
          <w:color w:val="000000" w:themeColor="text1"/>
        </w:rPr>
      </w:pPr>
      <w:proofErr w:type="spellStart"/>
      <w:r w:rsidRPr="00D55238">
        <w:rPr>
          <w:color w:val="000000" w:themeColor="text1"/>
        </w:rPr>
        <w:t>Rejali</w:t>
      </w:r>
      <w:proofErr w:type="spellEnd"/>
      <w:r w:rsidRPr="00D55238">
        <w:rPr>
          <w:color w:val="000000" w:themeColor="text1"/>
        </w:rPr>
        <w:t xml:space="preserve">, Darius.  2007. </w:t>
      </w:r>
      <w:proofErr w:type="gramStart"/>
      <w:r w:rsidRPr="00D55238">
        <w:rPr>
          <w:i/>
          <w:iCs/>
          <w:color w:val="000000" w:themeColor="text1"/>
        </w:rPr>
        <w:t>Torture</w:t>
      </w:r>
      <w:proofErr w:type="gramEnd"/>
      <w:r w:rsidRPr="00D55238">
        <w:rPr>
          <w:i/>
          <w:iCs/>
          <w:color w:val="000000" w:themeColor="text1"/>
        </w:rPr>
        <w:t xml:space="preserve"> and Democracy</w:t>
      </w:r>
      <w:r w:rsidRPr="00D55238">
        <w:rPr>
          <w:color w:val="000000" w:themeColor="text1"/>
        </w:rPr>
        <w:t>.  Princeton, NJ: Princeton University Press.</w:t>
      </w:r>
    </w:p>
    <w:p w:rsidR="00883285" w:rsidRPr="00883285" w:rsidRDefault="00EB43C7" w:rsidP="00547962">
      <w:pPr>
        <w:spacing w:line="480" w:lineRule="auto"/>
        <w:ind w:left="720" w:hanging="720"/>
        <w:rPr>
          <w:color w:val="000000" w:themeColor="text1"/>
        </w:rPr>
      </w:pPr>
      <w:proofErr w:type="spellStart"/>
      <w:proofErr w:type="gramStart"/>
      <w:r w:rsidRPr="00EB43C7">
        <w:rPr>
          <w:color w:val="222222"/>
          <w:shd w:val="clear" w:color="auto" w:fill="FFFFFF"/>
        </w:rPr>
        <w:t>Rejali</w:t>
      </w:r>
      <w:proofErr w:type="spellEnd"/>
      <w:r w:rsidRPr="00EB43C7">
        <w:rPr>
          <w:color w:val="222222"/>
          <w:shd w:val="clear" w:color="auto" w:fill="FFFFFF"/>
        </w:rPr>
        <w:t>, Darius M. 1994.</w:t>
      </w:r>
      <w:proofErr w:type="gramEnd"/>
      <w:r w:rsidRPr="00EB43C7">
        <w:rPr>
          <w:rStyle w:val="apple-converted-space"/>
          <w:color w:val="222222"/>
          <w:shd w:val="clear" w:color="auto" w:fill="FFFFFF"/>
        </w:rPr>
        <w:t> </w:t>
      </w:r>
      <w:r w:rsidRPr="00EB43C7">
        <w:rPr>
          <w:i/>
          <w:iCs/>
          <w:color w:val="222222"/>
          <w:shd w:val="clear" w:color="auto" w:fill="FFFFFF"/>
        </w:rPr>
        <w:t>Torture &amp; modernity: Self, society, and state in modern Iran</w:t>
      </w:r>
      <w:r w:rsidRPr="00EB43C7">
        <w:rPr>
          <w:color w:val="222222"/>
          <w:shd w:val="clear" w:color="auto" w:fill="FFFFFF"/>
        </w:rPr>
        <w:t>. Boulder: Westview Pres.</w:t>
      </w:r>
    </w:p>
    <w:p w:rsidR="00626873" w:rsidRPr="00B72461" w:rsidRDefault="00D55238" w:rsidP="00547962">
      <w:pPr>
        <w:autoSpaceDE w:val="0"/>
        <w:autoSpaceDN w:val="0"/>
        <w:adjustRightInd w:val="0"/>
        <w:spacing w:line="480" w:lineRule="auto"/>
        <w:ind w:left="720" w:hanging="720"/>
        <w:rPr>
          <w:color w:val="000000" w:themeColor="text1"/>
        </w:rPr>
      </w:pPr>
      <w:r w:rsidRPr="00D55238">
        <w:rPr>
          <w:color w:val="000000" w:themeColor="text1"/>
        </w:rPr>
        <w:t xml:space="preserve">Richards, David L., Ronald </w:t>
      </w:r>
      <w:proofErr w:type="spellStart"/>
      <w:r w:rsidRPr="00D55238">
        <w:rPr>
          <w:color w:val="000000" w:themeColor="text1"/>
        </w:rPr>
        <w:t>Gelleny</w:t>
      </w:r>
      <w:proofErr w:type="spellEnd"/>
      <w:r w:rsidRPr="00D55238">
        <w:rPr>
          <w:color w:val="000000" w:themeColor="text1"/>
        </w:rPr>
        <w:t xml:space="preserve">, and David </w:t>
      </w:r>
      <w:proofErr w:type="spellStart"/>
      <w:r w:rsidRPr="00D55238">
        <w:rPr>
          <w:color w:val="000000" w:themeColor="text1"/>
        </w:rPr>
        <w:t>Sacko</w:t>
      </w:r>
      <w:proofErr w:type="spellEnd"/>
      <w:r w:rsidRPr="00D55238">
        <w:rPr>
          <w:color w:val="000000" w:themeColor="text1"/>
        </w:rPr>
        <w:t xml:space="preserve">. 2001. Money With A Mean Streak? Foreign Economic Penetration and Government Respect for Human Rights in Developing Countries </w:t>
      </w:r>
      <w:r w:rsidRPr="00D55238">
        <w:rPr>
          <w:i/>
          <w:iCs/>
          <w:color w:val="000000" w:themeColor="text1"/>
        </w:rPr>
        <w:t>International Studies Quarterly</w:t>
      </w:r>
      <w:r w:rsidRPr="00D55238">
        <w:rPr>
          <w:color w:val="000000" w:themeColor="text1"/>
        </w:rPr>
        <w:t xml:space="preserve"> 45.2, 219-239.</w:t>
      </w:r>
    </w:p>
    <w:p w:rsidR="001A767B" w:rsidRPr="00B72461" w:rsidRDefault="00665402" w:rsidP="00547962">
      <w:pPr>
        <w:autoSpaceDE w:val="0"/>
        <w:autoSpaceDN w:val="0"/>
        <w:adjustRightInd w:val="0"/>
        <w:spacing w:line="480" w:lineRule="auto"/>
        <w:ind w:left="720" w:hanging="720"/>
        <w:rPr>
          <w:color w:val="000000" w:themeColor="text1"/>
        </w:rPr>
      </w:pPr>
      <w:r>
        <w:rPr>
          <w:rStyle w:val="apple-style-span"/>
          <w:color w:val="000000" w:themeColor="text1"/>
          <w:shd w:val="clear" w:color="auto" w:fill="FFFFFF"/>
        </w:rPr>
        <w:t xml:space="preserve">Ron, James. 1997. </w:t>
      </w:r>
      <w:hyperlink r:id="rId16" w:history="1">
        <w:r>
          <w:rPr>
            <w:rStyle w:val="Hyperlink"/>
            <w:color w:val="000000" w:themeColor="text1"/>
            <w:u w:val="none"/>
            <w:shd w:val="clear" w:color="auto" w:fill="FFFFFF"/>
          </w:rPr>
          <w:t>Varying Methods of State Violence.</w:t>
        </w:r>
      </w:hyperlink>
      <w:r>
        <w:rPr>
          <w:rStyle w:val="apple-style-span"/>
          <w:color w:val="000000" w:themeColor="text1"/>
          <w:shd w:val="clear" w:color="auto" w:fill="FFFFFF"/>
        </w:rPr>
        <w:t> </w:t>
      </w:r>
      <w:hyperlink r:id="rId17" w:history="1">
        <w:r>
          <w:rPr>
            <w:rStyle w:val="Hyperlink"/>
            <w:i/>
            <w:iCs/>
            <w:color w:val="000000" w:themeColor="text1"/>
            <w:shd w:val="clear" w:color="auto" w:fill="FFFFFF"/>
          </w:rPr>
          <w:t>International Organization</w:t>
        </w:r>
      </w:hyperlink>
      <w:r>
        <w:rPr>
          <w:rStyle w:val="Emphasis"/>
          <w:color w:val="000000" w:themeColor="text1"/>
          <w:u w:val="single"/>
          <w:shd w:val="clear" w:color="auto" w:fill="FFFFFF"/>
        </w:rPr>
        <w:t> </w:t>
      </w:r>
      <w:r>
        <w:rPr>
          <w:rStyle w:val="apple-style-span"/>
          <w:color w:val="000000" w:themeColor="text1"/>
          <w:shd w:val="clear" w:color="auto" w:fill="FFFFFF"/>
        </w:rPr>
        <w:t>51/2: 275-300.</w:t>
      </w:r>
    </w:p>
    <w:p w:rsidR="003C696F" w:rsidRPr="00B72461" w:rsidRDefault="00665402" w:rsidP="00547962">
      <w:pPr>
        <w:spacing w:line="480" w:lineRule="auto"/>
        <w:ind w:left="720" w:hanging="720"/>
        <w:rPr>
          <w:color w:val="000000" w:themeColor="text1"/>
        </w:rPr>
      </w:pPr>
      <w:proofErr w:type="spellStart"/>
      <w:r>
        <w:rPr>
          <w:color w:val="000000" w:themeColor="text1"/>
        </w:rPr>
        <w:lastRenderedPageBreak/>
        <w:t>Ryckman</w:t>
      </w:r>
      <w:proofErr w:type="spellEnd"/>
      <w:r>
        <w:rPr>
          <w:color w:val="000000" w:themeColor="text1"/>
        </w:rPr>
        <w:t xml:space="preserve">, Mike, and Gary </w:t>
      </w:r>
      <w:proofErr w:type="spellStart"/>
      <w:r>
        <w:rPr>
          <w:color w:val="000000" w:themeColor="text1"/>
        </w:rPr>
        <w:t>Goertz</w:t>
      </w:r>
      <w:proofErr w:type="spellEnd"/>
      <w:r>
        <w:rPr>
          <w:color w:val="000000" w:themeColor="text1"/>
        </w:rPr>
        <w:t>. 2008. Terrorism as Civil War. Paper presented at the Annual Convention of the International Studies Association, San Francisco.</w:t>
      </w:r>
    </w:p>
    <w:p w:rsidR="00E810F9" w:rsidRDefault="00D55238" w:rsidP="00E810F9">
      <w:pPr>
        <w:pStyle w:val="Heading1"/>
        <w:spacing w:before="0" w:line="480" w:lineRule="auto"/>
        <w:ind w:left="720" w:hanging="720"/>
        <w:rPr>
          <w:rFonts w:ascii="Times New Roman" w:hAnsi="Times New Roman" w:cs="Times New Roman"/>
          <w:b w:val="0"/>
          <w:color w:val="000000" w:themeColor="text1"/>
          <w:sz w:val="24"/>
          <w:szCs w:val="24"/>
          <w:shd w:val="clear" w:color="auto" w:fill="FFFFFF"/>
        </w:rPr>
      </w:pPr>
      <w:proofErr w:type="gramStart"/>
      <w:r w:rsidRPr="00D55238">
        <w:rPr>
          <w:rStyle w:val="apple-style-span"/>
          <w:rFonts w:ascii="Times New Roman" w:hAnsi="Times New Roman" w:cs="Times New Roman"/>
          <w:b w:val="0"/>
          <w:bCs w:val="0"/>
          <w:color w:val="000000" w:themeColor="text1"/>
          <w:sz w:val="24"/>
          <w:szCs w:val="24"/>
          <w:shd w:val="clear" w:color="auto" w:fill="FFFFFF"/>
        </w:rPr>
        <w:t>Sánchez-Cuenca, Ignacio</w:t>
      </w:r>
      <w:r w:rsidRPr="00D55238">
        <w:rPr>
          <w:rStyle w:val="apple-converted-space"/>
          <w:rFonts w:ascii="Times New Roman" w:hAnsi="Times New Roman" w:cs="Times New Roman"/>
          <w:b w:val="0"/>
          <w:bCs w:val="0"/>
          <w:color w:val="000000" w:themeColor="text1"/>
          <w:sz w:val="24"/>
          <w:szCs w:val="24"/>
          <w:shd w:val="clear" w:color="auto" w:fill="FFFFFF"/>
        </w:rPr>
        <w:t> </w:t>
      </w:r>
      <w:r w:rsidRPr="00D55238">
        <w:rPr>
          <w:rStyle w:val="apple-style-span"/>
          <w:rFonts w:ascii="Times New Roman" w:hAnsi="Times New Roman" w:cs="Times New Roman"/>
          <w:b w:val="0"/>
          <w:bCs w:val="0"/>
          <w:color w:val="000000" w:themeColor="text1"/>
          <w:sz w:val="24"/>
          <w:szCs w:val="24"/>
          <w:shd w:val="clear" w:color="auto" w:fill="FFFFFF"/>
        </w:rPr>
        <w:t xml:space="preserve">and Luis de la </w:t>
      </w:r>
      <w:proofErr w:type="spellStart"/>
      <w:r w:rsidRPr="00D55238">
        <w:rPr>
          <w:rStyle w:val="apple-style-span"/>
          <w:rFonts w:ascii="Times New Roman" w:hAnsi="Times New Roman" w:cs="Times New Roman"/>
          <w:b w:val="0"/>
          <w:bCs w:val="0"/>
          <w:color w:val="000000" w:themeColor="text1"/>
          <w:sz w:val="24"/>
          <w:szCs w:val="24"/>
          <w:shd w:val="clear" w:color="auto" w:fill="FFFFFF"/>
        </w:rPr>
        <w:t>Calle</w:t>
      </w:r>
      <w:proofErr w:type="spellEnd"/>
      <w:r w:rsidRPr="00D55238">
        <w:rPr>
          <w:rStyle w:val="nlmxref-aff"/>
          <w:rFonts w:ascii="Times New Roman" w:hAnsi="Times New Roman" w:cs="Times New Roman"/>
          <w:b w:val="0"/>
          <w:bCs w:val="0"/>
          <w:color w:val="000000" w:themeColor="text1"/>
          <w:sz w:val="24"/>
          <w:szCs w:val="24"/>
          <w:shd w:val="clear" w:color="auto" w:fill="FFFFFF"/>
        </w:rPr>
        <w:t>.</w:t>
      </w:r>
      <w:proofErr w:type="gramEnd"/>
      <w:r w:rsidRPr="00D55238">
        <w:rPr>
          <w:rStyle w:val="nlmxref-aff"/>
          <w:rFonts w:ascii="Times New Roman" w:hAnsi="Times New Roman" w:cs="Times New Roman"/>
          <w:b w:val="0"/>
          <w:bCs w:val="0"/>
          <w:color w:val="000000" w:themeColor="text1"/>
          <w:sz w:val="24"/>
          <w:szCs w:val="24"/>
          <w:shd w:val="clear" w:color="auto" w:fill="FFFFFF"/>
        </w:rPr>
        <w:t xml:space="preserve"> 2009. </w:t>
      </w:r>
      <w:r w:rsidRPr="00D55238">
        <w:rPr>
          <w:rFonts w:ascii="Times New Roman" w:hAnsi="Times New Roman" w:cs="Times New Roman"/>
          <w:b w:val="0"/>
          <w:color w:val="000000" w:themeColor="text1"/>
          <w:sz w:val="24"/>
          <w:szCs w:val="24"/>
          <w:shd w:val="clear" w:color="auto" w:fill="FFFFFF"/>
        </w:rPr>
        <w:t xml:space="preserve">Domestic Terrorism: The Hidden Side of Political Violence. </w:t>
      </w:r>
      <w:proofErr w:type="gramStart"/>
      <w:r w:rsidRPr="00D55238">
        <w:rPr>
          <w:rFonts w:ascii="Times New Roman" w:hAnsi="Times New Roman" w:cs="Times New Roman"/>
          <w:b w:val="0"/>
          <w:bCs w:val="0"/>
          <w:i/>
          <w:color w:val="000000" w:themeColor="text1"/>
          <w:sz w:val="24"/>
          <w:szCs w:val="24"/>
          <w:shd w:val="clear" w:color="auto" w:fill="FFFFFF"/>
        </w:rPr>
        <w:t>Annual Review of Political Science</w:t>
      </w:r>
      <w:r w:rsidRPr="00D55238">
        <w:rPr>
          <w:rFonts w:ascii="Times New Roman" w:hAnsi="Times New Roman" w:cs="Times New Roman"/>
          <w:b w:val="0"/>
          <w:color w:val="000000" w:themeColor="text1"/>
          <w:sz w:val="24"/>
          <w:szCs w:val="24"/>
          <w:shd w:val="clear" w:color="auto" w:fill="FFFFFF"/>
        </w:rPr>
        <w:t xml:space="preserve"> 12: 31-49.</w:t>
      </w:r>
      <w:proofErr w:type="gramEnd"/>
    </w:p>
    <w:p w:rsidR="00ED2456" w:rsidRDefault="00ED2456" w:rsidP="00732272">
      <w:pPr>
        <w:spacing w:line="480" w:lineRule="auto"/>
      </w:pPr>
      <w:r>
        <w:t xml:space="preserve">Simmons, Beth. 2009. </w:t>
      </w:r>
      <w:r>
        <w:rPr>
          <w:i/>
        </w:rPr>
        <w:t>Mobilizing for Human Rights</w:t>
      </w:r>
      <w:r>
        <w:t>. New York: Cambridge University Press.</w:t>
      </w:r>
    </w:p>
    <w:p w:rsidR="00E810F9" w:rsidRPr="0051391D" w:rsidRDefault="00BB7CA6" w:rsidP="00E810F9">
      <w:pPr>
        <w:pStyle w:val="Heading1"/>
        <w:spacing w:before="0" w:line="480" w:lineRule="auto"/>
        <w:ind w:left="720" w:hanging="720"/>
        <w:rPr>
          <w:rFonts w:ascii="Times New Roman" w:hAnsi="Times New Roman" w:cs="Times New Roman"/>
          <w:b w:val="0"/>
          <w:color w:val="auto"/>
          <w:sz w:val="24"/>
          <w:szCs w:val="24"/>
          <w:shd w:val="clear" w:color="auto" w:fill="FFFFFF"/>
        </w:rPr>
      </w:pPr>
      <w:proofErr w:type="spellStart"/>
      <w:proofErr w:type="gramStart"/>
      <w:r w:rsidRPr="0051391D">
        <w:rPr>
          <w:b w:val="0"/>
          <w:color w:val="auto"/>
          <w:sz w:val="22"/>
          <w:szCs w:val="22"/>
        </w:rPr>
        <w:t>Spirer</w:t>
      </w:r>
      <w:proofErr w:type="spellEnd"/>
      <w:r w:rsidRPr="0051391D">
        <w:rPr>
          <w:b w:val="0"/>
          <w:color w:val="auto"/>
          <w:sz w:val="22"/>
          <w:szCs w:val="22"/>
        </w:rPr>
        <w:t>, Herbert F. 1990.</w:t>
      </w:r>
      <w:proofErr w:type="gramEnd"/>
      <w:r w:rsidRPr="0051391D">
        <w:rPr>
          <w:b w:val="0"/>
          <w:color w:val="auto"/>
          <w:sz w:val="22"/>
          <w:szCs w:val="22"/>
        </w:rPr>
        <w:t xml:space="preserve"> “Violations of human rights–how many?” </w:t>
      </w:r>
      <w:proofErr w:type="gramStart"/>
      <w:r w:rsidRPr="0051391D">
        <w:rPr>
          <w:b w:val="0"/>
          <w:i/>
          <w:color w:val="auto"/>
          <w:sz w:val="22"/>
          <w:szCs w:val="22"/>
        </w:rPr>
        <w:t xml:space="preserve">American Journal of Economics and Sociology </w:t>
      </w:r>
      <w:r w:rsidRPr="0051391D">
        <w:rPr>
          <w:b w:val="0"/>
          <w:color w:val="auto"/>
          <w:sz w:val="22"/>
          <w:szCs w:val="22"/>
        </w:rPr>
        <w:t>49(2): 199–210.</w:t>
      </w:r>
      <w:proofErr w:type="gramEnd"/>
    </w:p>
    <w:p w:rsidR="00E779BB" w:rsidRPr="00D95A80" w:rsidRDefault="00E94076" w:rsidP="00D95A80">
      <w:pPr>
        <w:autoSpaceDE w:val="0"/>
        <w:autoSpaceDN w:val="0"/>
        <w:adjustRightInd w:val="0"/>
        <w:spacing w:line="480" w:lineRule="auto"/>
        <w:ind w:left="720" w:hanging="720"/>
        <w:rPr>
          <w:b/>
          <w:i/>
          <w:iCs/>
        </w:rPr>
      </w:pPr>
      <w:r w:rsidRPr="003C6AAF">
        <w:t xml:space="preserve">Stephan, W. G., and Stephan, C. W. </w:t>
      </w:r>
      <w:r w:rsidRPr="003C6AAF">
        <w:rPr>
          <w:bCs/>
        </w:rPr>
        <w:t xml:space="preserve">  1</w:t>
      </w:r>
      <w:r w:rsidRPr="003C6AAF">
        <w:t xml:space="preserve">996.   “Predicting prejudice.”   </w:t>
      </w:r>
      <w:proofErr w:type="gramStart"/>
      <w:r w:rsidRPr="003C6AAF">
        <w:rPr>
          <w:i/>
          <w:iCs/>
        </w:rPr>
        <w:t>International Journal of Intercultural Relationships.</w:t>
      </w:r>
      <w:proofErr w:type="gramEnd"/>
      <w:r w:rsidRPr="003C6AAF">
        <w:rPr>
          <w:i/>
          <w:iCs/>
        </w:rPr>
        <w:t xml:space="preserve">  </w:t>
      </w:r>
      <w:proofErr w:type="gramStart"/>
      <w:r w:rsidRPr="003C6AAF">
        <w:t>20:  409-426.</w:t>
      </w:r>
      <w:proofErr w:type="gramEnd"/>
    </w:p>
    <w:p w:rsidR="00E779BB" w:rsidRDefault="002941D2" w:rsidP="00D95A80">
      <w:pPr>
        <w:autoSpaceDE w:val="0"/>
        <w:autoSpaceDN w:val="0"/>
        <w:adjustRightInd w:val="0"/>
        <w:spacing w:line="480" w:lineRule="auto"/>
        <w:ind w:left="720" w:hanging="720"/>
      </w:pPr>
      <w:r w:rsidRPr="003C6AAF">
        <w:t xml:space="preserve">Stephan, W. G., and Stephan, C. W.  2000.  “An integrated threat theory of prejudice.”  </w:t>
      </w:r>
      <w:proofErr w:type="gramStart"/>
      <w:r w:rsidRPr="003C6AAF">
        <w:t xml:space="preserve">In S. </w:t>
      </w:r>
      <w:proofErr w:type="spellStart"/>
      <w:r w:rsidRPr="003C6AAF">
        <w:t>Oskamp</w:t>
      </w:r>
      <w:proofErr w:type="spellEnd"/>
      <w:r w:rsidRPr="003C6AAF">
        <w:t xml:space="preserve"> (ed.) </w:t>
      </w:r>
      <w:r w:rsidRPr="003C6AAF">
        <w:rPr>
          <w:i/>
          <w:iCs/>
        </w:rPr>
        <w:t>Reducing prejudice and discrimination.</w:t>
      </w:r>
      <w:proofErr w:type="gramEnd"/>
      <w:r w:rsidRPr="003C6AAF">
        <w:rPr>
          <w:i/>
          <w:iCs/>
        </w:rPr>
        <w:t xml:space="preserve">  </w:t>
      </w:r>
      <w:r w:rsidRPr="003C6AAF">
        <w:t>(</w:t>
      </w:r>
      <w:proofErr w:type="gramStart"/>
      <w:r w:rsidRPr="003C6AAF">
        <w:t>pp</w:t>
      </w:r>
      <w:proofErr w:type="gramEnd"/>
      <w:r w:rsidRPr="003C6AAF">
        <w:t>. 23-45).  Mahwah, NJ: Lawrence Erlbaum.</w:t>
      </w:r>
    </w:p>
    <w:p w:rsidR="00E779BB" w:rsidRPr="00D95A80" w:rsidRDefault="002941D2" w:rsidP="00D95A80">
      <w:pPr>
        <w:autoSpaceDE w:val="0"/>
        <w:autoSpaceDN w:val="0"/>
        <w:adjustRightInd w:val="0"/>
        <w:spacing w:line="480" w:lineRule="auto"/>
        <w:ind w:left="720" w:hanging="720"/>
      </w:pPr>
      <w:proofErr w:type="gramStart"/>
      <w:r w:rsidRPr="003C6AAF">
        <w:t>Stephan, W. G., Ybarra, O., and Bachman, G.</w:t>
      </w:r>
      <w:proofErr w:type="gramEnd"/>
      <w:r w:rsidRPr="003C6AAF">
        <w:t xml:space="preserve">  1999.  “Prejudice toward immigrants.”  </w:t>
      </w:r>
      <w:proofErr w:type="gramStart"/>
      <w:r w:rsidRPr="003C6AAF">
        <w:rPr>
          <w:i/>
          <w:iCs/>
        </w:rPr>
        <w:t>Journal of Applied Social Psychology.</w:t>
      </w:r>
      <w:proofErr w:type="gramEnd"/>
      <w:r w:rsidRPr="003C6AAF">
        <w:rPr>
          <w:i/>
          <w:iCs/>
        </w:rPr>
        <w:t xml:space="preserve">   </w:t>
      </w:r>
      <w:proofErr w:type="gramStart"/>
      <w:r w:rsidRPr="003C6AAF">
        <w:t>29: 2221-2237.</w:t>
      </w:r>
      <w:proofErr w:type="gramEnd"/>
    </w:p>
    <w:p w:rsidR="00626873" w:rsidRPr="00B72461" w:rsidRDefault="00665402" w:rsidP="00E94076">
      <w:pPr>
        <w:spacing w:line="480" w:lineRule="auto"/>
        <w:ind w:left="720" w:hanging="720"/>
        <w:rPr>
          <w:color w:val="000000" w:themeColor="text1"/>
        </w:rPr>
      </w:pPr>
      <w:proofErr w:type="spellStart"/>
      <w:r>
        <w:rPr>
          <w:color w:val="000000" w:themeColor="text1"/>
        </w:rPr>
        <w:t>Stohl</w:t>
      </w:r>
      <w:proofErr w:type="spellEnd"/>
      <w:r>
        <w:rPr>
          <w:color w:val="000000" w:themeColor="text1"/>
        </w:rPr>
        <w:t>, Michael.  1976</w:t>
      </w:r>
      <w:proofErr w:type="gramStart"/>
      <w:r>
        <w:rPr>
          <w:color w:val="000000" w:themeColor="text1"/>
        </w:rPr>
        <w:t xml:space="preserve">.  </w:t>
      </w:r>
      <w:r>
        <w:rPr>
          <w:i/>
          <w:iCs/>
          <w:color w:val="000000" w:themeColor="text1"/>
        </w:rPr>
        <w:t>War</w:t>
      </w:r>
      <w:proofErr w:type="gramEnd"/>
      <w:r>
        <w:rPr>
          <w:i/>
          <w:iCs/>
          <w:color w:val="000000" w:themeColor="text1"/>
        </w:rPr>
        <w:t xml:space="preserve"> and Domestic Political Violence: The American Capacity for Repression and Reaction</w:t>
      </w:r>
      <w:r>
        <w:rPr>
          <w:color w:val="000000" w:themeColor="text1"/>
        </w:rPr>
        <w:t>.  Beverly Hills, CA: Sage.</w:t>
      </w:r>
    </w:p>
    <w:p w:rsidR="00626873" w:rsidRPr="00B72461" w:rsidRDefault="00665402">
      <w:pPr>
        <w:spacing w:line="480" w:lineRule="auto"/>
        <w:ind w:left="720" w:hanging="720"/>
        <w:rPr>
          <w:color w:val="000000" w:themeColor="text1"/>
        </w:rPr>
      </w:pPr>
      <w:r>
        <w:rPr>
          <w:color w:val="000000" w:themeColor="text1"/>
        </w:rPr>
        <w:t>Sullivan, Christopher. 2011. “The (</w:t>
      </w:r>
      <w:proofErr w:type="gramStart"/>
      <w:r>
        <w:rPr>
          <w:color w:val="000000" w:themeColor="text1"/>
        </w:rPr>
        <w:t>In)Effectiveness</w:t>
      </w:r>
      <w:proofErr w:type="gramEnd"/>
      <w:r>
        <w:rPr>
          <w:color w:val="000000" w:themeColor="text1"/>
        </w:rPr>
        <w:t xml:space="preserve"> of Torture as a Tool for Combating Insurgency.” Working Paper.</w:t>
      </w:r>
    </w:p>
    <w:p w:rsidR="0089185D" w:rsidRPr="00B72461" w:rsidRDefault="00665402" w:rsidP="00547962">
      <w:pPr>
        <w:spacing w:line="480" w:lineRule="auto"/>
        <w:ind w:left="720" w:hanging="720"/>
        <w:rPr>
          <w:color w:val="000000" w:themeColor="text1"/>
        </w:rPr>
      </w:pPr>
      <w:proofErr w:type="spellStart"/>
      <w:r>
        <w:rPr>
          <w:rStyle w:val="Emphasis"/>
          <w:bCs/>
          <w:i w:val="0"/>
          <w:iCs w:val="0"/>
          <w:color w:val="000000" w:themeColor="text1"/>
          <w:shd w:val="clear" w:color="auto" w:fill="FFFFFF"/>
        </w:rPr>
        <w:t>Svolik</w:t>
      </w:r>
      <w:proofErr w:type="spellEnd"/>
      <w:r>
        <w:rPr>
          <w:rStyle w:val="apple-style-span"/>
          <w:color w:val="000000" w:themeColor="text1"/>
          <w:shd w:val="clear" w:color="auto" w:fill="FFFFFF"/>
        </w:rPr>
        <w:t>, Milan.</w:t>
      </w:r>
      <w:r>
        <w:rPr>
          <w:rStyle w:val="apple-converted-space"/>
          <w:color w:val="000000" w:themeColor="text1"/>
          <w:shd w:val="clear" w:color="auto" w:fill="FFFFFF"/>
        </w:rPr>
        <w:t> </w:t>
      </w:r>
      <w:r>
        <w:rPr>
          <w:rStyle w:val="Emphasis"/>
          <w:bCs/>
          <w:i w:val="0"/>
          <w:iCs w:val="0"/>
          <w:color w:val="000000" w:themeColor="text1"/>
          <w:shd w:val="clear" w:color="auto" w:fill="FFFFFF"/>
        </w:rPr>
        <w:t>2009</w:t>
      </w:r>
      <w:r>
        <w:rPr>
          <w:rStyle w:val="apple-style-span"/>
          <w:color w:val="000000" w:themeColor="text1"/>
          <w:shd w:val="clear" w:color="auto" w:fill="FFFFFF"/>
        </w:rPr>
        <w:t xml:space="preserve">. Power-sharing and Leadership Dynamics in Authoritarian Regimes. </w:t>
      </w:r>
      <w:r>
        <w:rPr>
          <w:rStyle w:val="apple-style-span"/>
          <w:i/>
          <w:color w:val="000000" w:themeColor="text1"/>
          <w:shd w:val="clear" w:color="auto" w:fill="FFFFFF"/>
        </w:rPr>
        <w:t>American Journal of Political Science</w:t>
      </w:r>
      <w:r>
        <w:rPr>
          <w:rStyle w:val="apple-style-span"/>
          <w:color w:val="000000" w:themeColor="text1"/>
          <w:shd w:val="clear" w:color="auto" w:fill="FFFFFF"/>
        </w:rPr>
        <w:t xml:space="preserve"> 53(2): 477-494.</w:t>
      </w:r>
    </w:p>
    <w:p w:rsidR="00D50D93" w:rsidRPr="00B72461" w:rsidRDefault="00665402" w:rsidP="00547962">
      <w:pPr>
        <w:spacing w:line="480" w:lineRule="auto"/>
        <w:ind w:left="720" w:hanging="720"/>
        <w:rPr>
          <w:color w:val="000000" w:themeColor="text1"/>
        </w:rPr>
      </w:pPr>
      <w:proofErr w:type="spellStart"/>
      <w:r>
        <w:rPr>
          <w:color w:val="000000" w:themeColor="text1"/>
        </w:rPr>
        <w:t>Thiessen</w:t>
      </w:r>
      <w:proofErr w:type="spellEnd"/>
      <w:r>
        <w:rPr>
          <w:color w:val="000000" w:themeColor="text1"/>
        </w:rPr>
        <w:t xml:space="preserve">, Marc. 2009. Enhanced Interrogations Worked. </w:t>
      </w:r>
      <w:r>
        <w:rPr>
          <w:i/>
          <w:color w:val="000000" w:themeColor="text1"/>
        </w:rPr>
        <w:t>Washington Post</w:t>
      </w:r>
      <w:r>
        <w:rPr>
          <w:color w:val="000000" w:themeColor="text1"/>
        </w:rPr>
        <w:t xml:space="preserve">. April 21. </w:t>
      </w:r>
    </w:p>
    <w:p w:rsidR="00626873" w:rsidRDefault="00665402" w:rsidP="00547962">
      <w:pPr>
        <w:spacing w:line="480" w:lineRule="auto"/>
        <w:ind w:left="720" w:hanging="720"/>
        <w:rPr>
          <w:color w:val="000000" w:themeColor="text1"/>
        </w:rPr>
      </w:pPr>
      <w:r>
        <w:rPr>
          <w:color w:val="000000" w:themeColor="text1"/>
        </w:rPr>
        <w:lastRenderedPageBreak/>
        <w:t xml:space="preserve">Tilly, Charles. 1985. War Making and State Making as Organized Crime. In </w:t>
      </w:r>
      <w:r>
        <w:rPr>
          <w:i/>
          <w:iCs/>
          <w:color w:val="000000" w:themeColor="text1"/>
        </w:rPr>
        <w:t>Bringing the State Back In</w:t>
      </w:r>
      <w:r>
        <w:rPr>
          <w:color w:val="000000" w:themeColor="text1"/>
        </w:rPr>
        <w:t xml:space="preserve">, ed. Peter Evans, Dietrich </w:t>
      </w:r>
      <w:proofErr w:type="spellStart"/>
      <w:r>
        <w:rPr>
          <w:color w:val="000000" w:themeColor="text1"/>
        </w:rPr>
        <w:t>Rueschemeyer</w:t>
      </w:r>
      <w:proofErr w:type="spellEnd"/>
      <w:r>
        <w:rPr>
          <w:color w:val="000000" w:themeColor="text1"/>
        </w:rPr>
        <w:t xml:space="preserve">, and </w:t>
      </w:r>
      <w:proofErr w:type="spellStart"/>
      <w:r>
        <w:rPr>
          <w:color w:val="000000" w:themeColor="text1"/>
        </w:rPr>
        <w:t>Theda</w:t>
      </w:r>
      <w:proofErr w:type="spellEnd"/>
      <w:r>
        <w:rPr>
          <w:color w:val="000000" w:themeColor="text1"/>
        </w:rPr>
        <w:t xml:space="preserve"> </w:t>
      </w:r>
      <w:proofErr w:type="spellStart"/>
      <w:r>
        <w:rPr>
          <w:color w:val="000000" w:themeColor="text1"/>
        </w:rPr>
        <w:t>Skocpol</w:t>
      </w:r>
      <w:proofErr w:type="spellEnd"/>
      <w:r>
        <w:rPr>
          <w:color w:val="000000" w:themeColor="text1"/>
        </w:rPr>
        <w:t>. New York: Cambridge University Press.</w:t>
      </w:r>
    </w:p>
    <w:p w:rsidR="00ED2456" w:rsidRPr="00B72461" w:rsidRDefault="00ED2456" w:rsidP="00547962">
      <w:pPr>
        <w:spacing w:line="480" w:lineRule="auto"/>
        <w:ind w:left="720" w:hanging="720"/>
        <w:rPr>
          <w:color w:val="000000" w:themeColor="text1"/>
        </w:rPr>
      </w:pPr>
      <w:r>
        <w:rPr>
          <w:color w:val="000000" w:themeColor="text1"/>
        </w:rPr>
        <w:t xml:space="preserve">Vreeland, James. 2008. Political Institutions and Human Rights. </w:t>
      </w:r>
      <w:r>
        <w:rPr>
          <w:i/>
          <w:color w:val="000000" w:themeColor="text1"/>
        </w:rPr>
        <w:t>International Organization 62(1): 65-101.</w:t>
      </w:r>
    </w:p>
    <w:p w:rsidR="00626873" w:rsidRPr="00B72461" w:rsidRDefault="00665402" w:rsidP="00547962">
      <w:pPr>
        <w:spacing w:line="480" w:lineRule="auto"/>
        <w:ind w:left="720" w:hanging="720"/>
        <w:rPr>
          <w:color w:val="000000" w:themeColor="text1"/>
        </w:rPr>
      </w:pPr>
      <w:r>
        <w:rPr>
          <w:color w:val="000000" w:themeColor="text1"/>
        </w:rPr>
        <w:t xml:space="preserve">Walsh, James </w:t>
      </w:r>
      <w:proofErr w:type="spellStart"/>
      <w:r>
        <w:rPr>
          <w:color w:val="000000" w:themeColor="text1"/>
        </w:rPr>
        <w:t>Igoe</w:t>
      </w:r>
      <w:proofErr w:type="spellEnd"/>
      <w:r>
        <w:rPr>
          <w:color w:val="000000" w:themeColor="text1"/>
        </w:rPr>
        <w:t xml:space="preserve">, and James A. Piazza. 2010. Why Respecting Physical Integrity Rights Reduces Terrorism. </w:t>
      </w:r>
      <w:proofErr w:type="gramStart"/>
      <w:r>
        <w:rPr>
          <w:i/>
          <w:iCs/>
          <w:color w:val="000000" w:themeColor="text1"/>
        </w:rPr>
        <w:t>Comparative Political Studies</w:t>
      </w:r>
      <w:r>
        <w:rPr>
          <w:color w:val="000000" w:themeColor="text1"/>
        </w:rPr>
        <w:t xml:space="preserve"> 43:3, 551-577.</w:t>
      </w:r>
      <w:proofErr w:type="gramEnd"/>
    </w:p>
    <w:p w:rsidR="00626873" w:rsidRPr="00B72461" w:rsidRDefault="00665402" w:rsidP="00547962">
      <w:pPr>
        <w:spacing w:line="480" w:lineRule="auto"/>
        <w:ind w:left="720" w:hanging="720"/>
        <w:rPr>
          <w:color w:val="000000" w:themeColor="text1"/>
        </w:rPr>
      </w:pPr>
      <w:r>
        <w:rPr>
          <w:color w:val="000000" w:themeColor="text1"/>
        </w:rPr>
        <w:t xml:space="preserve">Walter, Eugene. 1969. </w:t>
      </w:r>
      <w:proofErr w:type="gramStart"/>
      <w:r>
        <w:rPr>
          <w:i/>
          <w:color w:val="000000" w:themeColor="text1"/>
        </w:rPr>
        <w:t>Terror</w:t>
      </w:r>
      <w:proofErr w:type="gramEnd"/>
      <w:r>
        <w:rPr>
          <w:i/>
          <w:color w:val="000000" w:themeColor="text1"/>
        </w:rPr>
        <w:t xml:space="preserve"> and Resistance</w:t>
      </w:r>
      <w:r>
        <w:rPr>
          <w:color w:val="000000" w:themeColor="text1"/>
        </w:rPr>
        <w:t xml:space="preserve">. </w:t>
      </w:r>
      <w:proofErr w:type="gramStart"/>
      <w:r>
        <w:rPr>
          <w:color w:val="000000" w:themeColor="text1"/>
        </w:rPr>
        <w:t>Oxford University Press.</w:t>
      </w:r>
      <w:proofErr w:type="gramEnd"/>
      <w:r>
        <w:rPr>
          <w:color w:val="000000" w:themeColor="text1"/>
        </w:rPr>
        <w:t xml:space="preserve"> Oxford.</w:t>
      </w:r>
    </w:p>
    <w:p w:rsidR="00830A4E" w:rsidRPr="00B72461" w:rsidRDefault="00665402" w:rsidP="00830A4E">
      <w:pPr>
        <w:spacing w:line="480" w:lineRule="auto"/>
        <w:ind w:left="720" w:hanging="720"/>
        <w:rPr>
          <w:i/>
          <w:iCs/>
          <w:color w:val="000000" w:themeColor="text1"/>
        </w:rPr>
      </w:pPr>
      <w:proofErr w:type="spellStart"/>
      <w:r>
        <w:rPr>
          <w:color w:val="000000" w:themeColor="text1"/>
        </w:rPr>
        <w:t>Wantchekon</w:t>
      </w:r>
      <w:proofErr w:type="spellEnd"/>
      <w:r>
        <w:rPr>
          <w:color w:val="000000" w:themeColor="text1"/>
        </w:rPr>
        <w:t xml:space="preserve">, Leonard and Andrew Healey. 1999. “The ‘Game’ of Torture.” </w:t>
      </w:r>
      <w:proofErr w:type="gramStart"/>
      <w:r>
        <w:rPr>
          <w:i/>
          <w:iCs/>
          <w:color w:val="000000" w:themeColor="text1"/>
        </w:rPr>
        <w:t>Journal of Conflict Resolution.</w:t>
      </w:r>
      <w:proofErr w:type="gramEnd"/>
    </w:p>
    <w:p w:rsidR="00626873" w:rsidRPr="00B72461" w:rsidRDefault="00665402" w:rsidP="00547962">
      <w:pPr>
        <w:spacing w:line="480" w:lineRule="auto"/>
        <w:ind w:left="720" w:hanging="720"/>
        <w:rPr>
          <w:color w:val="000000" w:themeColor="text1"/>
        </w:rPr>
      </w:pPr>
      <w:r>
        <w:rPr>
          <w:color w:val="000000" w:themeColor="text1"/>
        </w:rPr>
        <w:t>Whitaker, Beth E.  2007.  “Exporting the Patriot Act</w:t>
      </w:r>
      <w:proofErr w:type="gramStart"/>
      <w:r>
        <w:rPr>
          <w:color w:val="000000" w:themeColor="text1"/>
        </w:rPr>
        <w:t>?:</w:t>
      </w:r>
      <w:proofErr w:type="gramEnd"/>
      <w:r>
        <w:rPr>
          <w:color w:val="000000" w:themeColor="text1"/>
        </w:rPr>
        <w:t xml:space="preserve"> Democracy and the ‘War on Terror’ in the Third World.”  </w:t>
      </w:r>
      <w:proofErr w:type="gramStart"/>
      <w:r>
        <w:rPr>
          <w:i/>
          <w:iCs/>
          <w:color w:val="000000" w:themeColor="text1"/>
        </w:rPr>
        <w:t>Third World Quarterly</w:t>
      </w:r>
      <w:r>
        <w:rPr>
          <w:color w:val="000000" w:themeColor="text1"/>
        </w:rPr>
        <w:t>.</w:t>
      </w:r>
      <w:proofErr w:type="gramEnd"/>
      <w:r>
        <w:rPr>
          <w:color w:val="000000" w:themeColor="text1"/>
        </w:rPr>
        <w:t xml:space="preserve">  28(5): 1017-1032. </w:t>
      </w:r>
    </w:p>
    <w:p w:rsidR="001A767B" w:rsidRDefault="00665402" w:rsidP="007D5BF4">
      <w:pPr>
        <w:spacing w:line="480" w:lineRule="auto"/>
        <w:ind w:left="720" w:hanging="720"/>
        <w:rPr>
          <w:color w:val="000000" w:themeColor="text1"/>
        </w:rPr>
      </w:pPr>
      <w:proofErr w:type="gramStart"/>
      <w:r>
        <w:rPr>
          <w:color w:val="000000" w:themeColor="text1"/>
        </w:rPr>
        <w:t>Whitten-</w:t>
      </w:r>
      <w:proofErr w:type="spellStart"/>
      <w:r>
        <w:rPr>
          <w:color w:val="000000" w:themeColor="text1"/>
        </w:rPr>
        <w:t>Woodring</w:t>
      </w:r>
      <w:proofErr w:type="spellEnd"/>
      <w:r>
        <w:rPr>
          <w:color w:val="000000" w:themeColor="text1"/>
        </w:rPr>
        <w:t>, Jenifer (2009) Watchdog or Lapdog?</w:t>
      </w:r>
      <w:proofErr w:type="gramEnd"/>
      <w:r>
        <w:rPr>
          <w:color w:val="000000" w:themeColor="text1"/>
        </w:rPr>
        <w:t xml:space="preserve"> Media Freedom, Regime Type</w:t>
      </w:r>
      <w:r w:rsidR="007D5BF4">
        <w:rPr>
          <w:color w:val="000000" w:themeColor="text1"/>
        </w:rPr>
        <w:t xml:space="preserve"> </w:t>
      </w:r>
      <w:r>
        <w:rPr>
          <w:color w:val="000000" w:themeColor="text1"/>
        </w:rPr>
        <w:t xml:space="preserve">and Government Respect for Human Rights. </w:t>
      </w:r>
      <w:proofErr w:type="gramStart"/>
      <w:r>
        <w:rPr>
          <w:i/>
          <w:color w:val="000000" w:themeColor="text1"/>
        </w:rPr>
        <w:t>International Studies Quarterly</w:t>
      </w:r>
      <w:r>
        <w:rPr>
          <w:color w:val="000000" w:themeColor="text1"/>
        </w:rPr>
        <w:t>.</w:t>
      </w:r>
      <w:proofErr w:type="gramEnd"/>
    </w:p>
    <w:p w:rsidR="008B73DA" w:rsidRPr="008B73DA" w:rsidRDefault="008B73DA" w:rsidP="007D5BF4">
      <w:pPr>
        <w:spacing w:line="480" w:lineRule="auto"/>
        <w:ind w:left="720" w:hanging="720"/>
        <w:rPr>
          <w:color w:val="000000" w:themeColor="text1"/>
        </w:rPr>
      </w:pPr>
      <w:r>
        <w:rPr>
          <w:color w:val="000000" w:themeColor="text1"/>
        </w:rPr>
        <w:t xml:space="preserve">World Bank.  2012.  </w:t>
      </w:r>
      <w:r>
        <w:rPr>
          <w:i/>
          <w:color w:val="000000" w:themeColor="text1"/>
        </w:rPr>
        <w:t xml:space="preserve">World Bank Data Catalog.  </w:t>
      </w:r>
      <w:hyperlink r:id="rId18" w:history="1">
        <w:r w:rsidRPr="00931873">
          <w:rPr>
            <w:rStyle w:val="Hyperlink"/>
            <w:i/>
          </w:rPr>
          <w:t>http://data.worldbank.org/</w:t>
        </w:r>
      </w:hyperlink>
      <w:r>
        <w:rPr>
          <w:i/>
          <w:color w:val="000000" w:themeColor="text1"/>
        </w:rPr>
        <w:t xml:space="preserve"> </w:t>
      </w:r>
      <w:r>
        <w:rPr>
          <w:color w:val="000000" w:themeColor="text1"/>
        </w:rPr>
        <w:t>(accessed September 18, 2012).</w:t>
      </w:r>
    </w:p>
    <w:p w:rsidR="00B9207F" w:rsidRPr="004C768F" w:rsidRDefault="00D55238" w:rsidP="00B9207F">
      <w:pPr>
        <w:rPr>
          <w:b/>
          <w:color w:val="000000"/>
        </w:rPr>
      </w:pPr>
      <w:r w:rsidRPr="00D55238">
        <w:rPr>
          <w:color w:val="000000"/>
        </w:rPr>
        <w:br w:type="page"/>
      </w:r>
      <w:r w:rsidR="00B9207F">
        <w:rPr>
          <w:b/>
          <w:color w:val="000000"/>
        </w:rPr>
        <w:lastRenderedPageBreak/>
        <w:t xml:space="preserve">Table 1.  Frequency of </w:t>
      </w:r>
      <w:r w:rsidR="00B70861">
        <w:rPr>
          <w:b/>
          <w:color w:val="000000"/>
        </w:rPr>
        <w:t>Torture Incidence</w:t>
      </w:r>
    </w:p>
    <w:p w:rsidR="00B9207F" w:rsidRDefault="00B9207F" w:rsidP="00B9207F">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B9207F">
        <w:tc>
          <w:tcPr>
            <w:tcW w:w="2952" w:type="dxa"/>
            <w:tcBorders>
              <w:bottom w:val="single" w:sz="4" w:space="0" w:color="auto"/>
            </w:tcBorders>
          </w:tcPr>
          <w:p w:rsidR="00B9207F" w:rsidRDefault="00B9207F" w:rsidP="005C067C">
            <w:pPr>
              <w:jc w:val="right"/>
              <w:rPr>
                <w:color w:val="000000"/>
              </w:rPr>
            </w:pPr>
            <w:r>
              <w:rPr>
                <w:color w:val="000000"/>
              </w:rPr>
              <w:t>Level of Torture</w:t>
            </w:r>
          </w:p>
        </w:tc>
        <w:tc>
          <w:tcPr>
            <w:tcW w:w="2952" w:type="dxa"/>
            <w:tcBorders>
              <w:bottom w:val="single" w:sz="4" w:space="0" w:color="auto"/>
            </w:tcBorders>
          </w:tcPr>
          <w:p w:rsidR="00B9207F" w:rsidRDefault="00B9207F" w:rsidP="005C067C">
            <w:pPr>
              <w:jc w:val="right"/>
              <w:rPr>
                <w:color w:val="000000"/>
              </w:rPr>
            </w:pPr>
            <w:r>
              <w:rPr>
                <w:color w:val="000000"/>
              </w:rPr>
              <w:t>Frequency</w:t>
            </w:r>
          </w:p>
        </w:tc>
        <w:tc>
          <w:tcPr>
            <w:tcW w:w="2952" w:type="dxa"/>
            <w:tcBorders>
              <w:bottom w:val="single" w:sz="4" w:space="0" w:color="auto"/>
            </w:tcBorders>
          </w:tcPr>
          <w:p w:rsidR="00B9207F" w:rsidRDefault="00B9207F" w:rsidP="005C067C">
            <w:pPr>
              <w:jc w:val="right"/>
              <w:rPr>
                <w:color w:val="000000"/>
              </w:rPr>
            </w:pPr>
            <w:r>
              <w:rPr>
                <w:color w:val="000000"/>
              </w:rPr>
              <w:t>Percentage</w:t>
            </w:r>
          </w:p>
        </w:tc>
      </w:tr>
      <w:tr w:rsidR="00B9207F">
        <w:tc>
          <w:tcPr>
            <w:tcW w:w="2952" w:type="dxa"/>
            <w:tcBorders>
              <w:top w:val="single" w:sz="4" w:space="0" w:color="auto"/>
            </w:tcBorders>
          </w:tcPr>
          <w:p w:rsidR="00B9207F" w:rsidRPr="004C768F" w:rsidRDefault="00B9207F" w:rsidP="005C067C">
            <w:pPr>
              <w:jc w:val="right"/>
              <w:rPr>
                <w:i/>
                <w:color w:val="000000"/>
              </w:rPr>
            </w:pPr>
            <w:r w:rsidRPr="004C768F">
              <w:rPr>
                <w:i/>
                <w:color w:val="000000"/>
              </w:rPr>
              <w:t>None</w:t>
            </w:r>
          </w:p>
        </w:tc>
        <w:tc>
          <w:tcPr>
            <w:tcW w:w="2952" w:type="dxa"/>
            <w:tcBorders>
              <w:top w:val="single" w:sz="4" w:space="0" w:color="auto"/>
            </w:tcBorders>
          </w:tcPr>
          <w:p w:rsidR="00B9207F" w:rsidRDefault="00B9207F" w:rsidP="005C067C">
            <w:pPr>
              <w:jc w:val="right"/>
              <w:rPr>
                <w:color w:val="000000"/>
              </w:rPr>
            </w:pPr>
            <w:r>
              <w:rPr>
                <w:color w:val="000000"/>
              </w:rPr>
              <w:t>1203</w:t>
            </w:r>
          </w:p>
        </w:tc>
        <w:tc>
          <w:tcPr>
            <w:tcW w:w="2952" w:type="dxa"/>
            <w:tcBorders>
              <w:top w:val="single" w:sz="4" w:space="0" w:color="auto"/>
            </w:tcBorders>
          </w:tcPr>
          <w:p w:rsidR="00B9207F" w:rsidRDefault="00B9207F" w:rsidP="005C067C">
            <w:pPr>
              <w:jc w:val="right"/>
              <w:rPr>
                <w:color w:val="000000"/>
              </w:rPr>
            </w:pPr>
            <w:r>
              <w:rPr>
                <w:color w:val="000000"/>
              </w:rPr>
              <w:t>77.16</w:t>
            </w:r>
          </w:p>
        </w:tc>
      </w:tr>
      <w:tr w:rsidR="00B9207F">
        <w:tc>
          <w:tcPr>
            <w:tcW w:w="2952" w:type="dxa"/>
          </w:tcPr>
          <w:p w:rsidR="00B9207F" w:rsidRPr="004C768F" w:rsidRDefault="00B9207F" w:rsidP="005C067C">
            <w:pPr>
              <w:jc w:val="right"/>
              <w:rPr>
                <w:i/>
                <w:color w:val="000000"/>
              </w:rPr>
            </w:pPr>
            <w:r w:rsidRPr="004C768F">
              <w:rPr>
                <w:i/>
                <w:color w:val="000000"/>
              </w:rPr>
              <w:t>Infrequent</w:t>
            </w:r>
          </w:p>
        </w:tc>
        <w:tc>
          <w:tcPr>
            <w:tcW w:w="2952" w:type="dxa"/>
          </w:tcPr>
          <w:p w:rsidR="00B9207F" w:rsidRDefault="00B9207F" w:rsidP="005C067C">
            <w:pPr>
              <w:jc w:val="right"/>
              <w:rPr>
                <w:color w:val="000000"/>
              </w:rPr>
            </w:pPr>
            <w:r>
              <w:rPr>
                <w:color w:val="000000"/>
              </w:rPr>
              <w:t>3</w:t>
            </w:r>
          </w:p>
        </w:tc>
        <w:tc>
          <w:tcPr>
            <w:tcW w:w="2952" w:type="dxa"/>
          </w:tcPr>
          <w:p w:rsidR="00B9207F" w:rsidRDefault="00B9207F" w:rsidP="005C067C">
            <w:pPr>
              <w:jc w:val="right"/>
              <w:rPr>
                <w:color w:val="000000"/>
              </w:rPr>
            </w:pPr>
            <w:r>
              <w:rPr>
                <w:color w:val="000000"/>
              </w:rPr>
              <w:t>0.19</w:t>
            </w:r>
          </w:p>
        </w:tc>
      </w:tr>
      <w:tr w:rsidR="00B9207F">
        <w:tc>
          <w:tcPr>
            <w:tcW w:w="2952" w:type="dxa"/>
          </w:tcPr>
          <w:p w:rsidR="00B9207F" w:rsidRPr="004C768F" w:rsidRDefault="00B9207F" w:rsidP="005C067C">
            <w:pPr>
              <w:jc w:val="right"/>
              <w:rPr>
                <w:i/>
                <w:color w:val="000000"/>
              </w:rPr>
            </w:pPr>
            <w:r w:rsidRPr="004C768F">
              <w:rPr>
                <w:i/>
                <w:color w:val="000000"/>
              </w:rPr>
              <w:t>Often</w:t>
            </w:r>
          </w:p>
        </w:tc>
        <w:tc>
          <w:tcPr>
            <w:tcW w:w="2952" w:type="dxa"/>
          </w:tcPr>
          <w:p w:rsidR="00B9207F" w:rsidRDefault="00B9207F" w:rsidP="005C067C">
            <w:pPr>
              <w:jc w:val="right"/>
              <w:rPr>
                <w:color w:val="000000"/>
              </w:rPr>
            </w:pPr>
            <w:r>
              <w:rPr>
                <w:color w:val="000000"/>
              </w:rPr>
              <w:t>52</w:t>
            </w:r>
          </w:p>
        </w:tc>
        <w:tc>
          <w:tcPr>
            <w:tcW w:w="2952" w:type="dxa"/>
          </w:tcPr>
          <w:p w:rsidR="00B9207F" w:rsidRDefault="00B9207F" w:rsidP="005C067C">
            <w:pPr>
              <w:jc w:val="right"/>
              <w:rPr>
                <w:color w:val="000000"/>
              </w:rPr>
            </w:pPr>
            <w:r>
              <w:rPr>
                <w:color w:val="000000"/>
              </w:rPr>
              <w:t>3.34</w:t>
            </w:r>
          </w:p>
        </w:tc>
      </w:tr>
      <w:tr w:rsidR="00B9207F">
        <w:tc>
          <w:tcPr>
            <w:tcW w:w="2952" w:type="dxa"/>
          </w:tcPr>
          <w:p w:rsidR="00B9207F" w:rsidRPr="004C768F" w:rsidRDefault="00B9207F" w:rsidP="005C067C">
            <w:pPr>
              <w:jc w:val="right"/>
              <w:rPr>
                <w:i/>
                <w:color w:val="000000"/>
              </w:rPr>
            </w:pPr>
            <w:r w:rsidRPr="004C768F">
              <w:rPr>
                <w:i/>
                <w:color w:val="000000"/>
              </w:rPr>
              <w:t>Regular</w:t>
            </w:r>
          </w:p>
        </w:tc>
        <w:tc>
          <w:tcPr>
            <w:tcW w:w="2952" w:type="dxa"/>
          </w:tcPr>
          <w:p w:rsidR="00B9207F" w:rsidRDefault="00B9207F" w:rsidP="005C067C">
            <w:pPr>
              <w:jc w:val="right"/>
              <w:rPr>
                <w:color w:val="000000"/>
              </w:rPr>
            </w:pPr>
            <w:r>
              <w:rPr>
                <w:color w:val="000000"/>
              </w:rPr>
              <w:t>78</w:t>
            </w:r>
          </w:p>
        </w:tc>
        <w:tc>
          <w:tcPr>
            <w:tcW w:w="2952" w:type="dxa"/>
          </w:tcPr>
          <w:p w:rsidR="00B9207F" w:rsidRDefault="00B9207F" w:rsidP="005C067C">
            <w:pPr>
              <w:jc w:val="right"/>
              <w:rPr>
                <w:color w:val="000000"/>
              </w:rPr>
            </w:pPr>
            <w:r>
              <w:rPr>
                <w:color w:val="000000"/>
              </w:rPr>
              <w:t>5.00</w:t>
            </w:r>
          </w:p>
        </w:tc>
      </w:tr>
      <w:tr w:rsidR="00B9207F">
        <w:tc>
          <w:tcPr>
            <w:tcW w:w="2952" w:type="dxa"/>
          </w:tcPr>
          <w:p w:rsidR="00B9207F" w:rsidRPr="004C768F" w:rsidRDefault="00B9207F" w:rsidP="005C067C">
            <w:pPr>
              <w:jc w:val="right"/>
              <w:rPr>
                <w:i/>
                <w:color w:val="000000"/>
              </w:rPr>
            </w:pPr>
            <w:r w:rsidRPr="004C768F">
              <w:rPr>
                <w:i/>
                <w:color w:val="000000"/>
              </w:rPr>
              <w:t>Widespread</w:t>
            </w:r>
          </w:p>
        </w:tc>
        <w:tc>
          <w:tcPr>
            <w:tcW w:w="2952" w:type="dxa"/>
          </w:tcPr>
          <w:p w:rsidR="00B9207F" w:rsidRDefault="00B9207F" w:rsidP="005C067C">
            <w:pPr>
              <w:jc w:val="right"/>
              <w:rPr>
                <w:color w:val="000000"/>
              </w:rPr>
            </w:pPr>
            <w:r>
              <w:rPr>
                <w:color w:val="000000"/>
              </w:rPr>
              <w:t>91</w:t>
            </w:r>
          </w:p>
        </w:tc>
        <w:tc>
          <w:tcPr>
            <w:tcW w:w="2952" w:type="dxa"/>
          </w:tcPr>
          <w:p w:rsidR="00B9207F" w:rsidRDefault="00B9207F" w:rsidP="005C067C">
            <w:pPr>
              <w:jc w:val="right"/>
              <w:rPr>
                <w:color w:val="000000"/>
              </w:rPr>
            </w:pPr>
            <w:r>
              <w:rPr>
                <w:color w:val="000000"/>
              </w:rPr>
              <w:t>5.84</w:t>
            </w:r>
          </w:p>
        </w:tc>
      </w:tr>
      <w:tr w:rsidR="00B9207F">
        <w:tc>
          <w:tcPr>
            <w:tcW w:w="2952" w:type="dxa"/>
          </w:tcPr>
          <w:p w:rsidR="00B9207F" w:rsidRPr="004C768F" w:rsidRDefault="00B9207F" w:rsidP="005C067C">
            <w:pPr>
              <w:jc w:val="right"/>
              <w:rPr>
                <w:i/>
                <w:color w:val="000000"/>
              </w:rPr>
            </w:pPr>
            <w:r w:rsidRPr="004C768F">
              <w:rPr>
                <w:i/>
                <w:color w:val="000000"/>
              </w:rPr>
              <w:t>Systemic</w:t>
            </w:r>
          </w:p>
        </w:tc>
        <w:tc>
          <w:tcPr>
            <w:tcW w:w="2952" w:type="dxa"/>
          </w:tcPr>
          <w:p w:rsidR="00B9207F" w:rsidRDefault="00B9207F" w:rsidP="005C067C">
            <w:pPr>
              <w:jc w:val="right"/>
              <w:rPr>
                <w:color w:val="000000"/>
              </w:rPr>
            </w:pPr>
            <w:r>
              <w:rPr>
                <w:color w:val="000000"/>
              </w:rPr>
              <w:t>132</w:t>
            </w:r>
          </w:p>
        </w:tc>
        <w:tc>
          <w:tcPr>
            <w:tcW w:w="2952" w:type="dxa"/>
          </w:tcPr>
          <w:p w:rsidR="00B9207F" w:rsidRDefault="00B9207F" w:rsidP="005C067C">
            <w:pPr>
              <w:jc w:val="right"/>
              <w:rPr>
                <w:color w:val="000000"/>
              </w:rPr>
            </w:pPr>
            <w:r>
              <w:rPr>
                <w:color w:val="000000"/>
              </w:rPr>
              <w:t>8.47</w:t>
            </w:r>
          </w:p>
        </w:tc>
      </w:tr>
      <w:tr w:rsidR="00B9207F">
        <w:tc>
          <w:tcPr>
            <w:tcW w:w="2952" w:type="dxa"/>
            <w:tcBorders>
              <w:bottom w:val="single" w:sz="4" w:space="0" w:color="auto"/>
            </w:tcBorders>
          </w:tcPr>
          <w:p w:rsidR="00B9207F" w:rsidRDefault="00B9207F" w:rsidP="005C067C">
            <w:pPr>
              <w:jc w:val="right"/>
              <w:rPr>
                <w:color w:val="000000"/>
              </w:rPr>
            </w:pPr>
            <w:r>
              <w:rPr>
                <w:color w:val="000000"/>
              </w:rPr>
              <w:t>Total</w:t>
            </w:r>
          </w:p>
        </w:tc>
        <w:tc>
          <w:tcPr>
            <w:tcW w:w="2952" w:type="dxa"/>
            <w:tcBorders>
              <w:bottom w:val="single" w:sz="4" w:space="0" w:color="auto"/>
            </w:tcBorders>
          </w:tcPr>
          <w:p w:rsidR="00B9207F" w:rsidRDefault="00B9207F" w:rsidP="005C067C">
            <w:pPr>
              <w:jc w:val="right"/>
              <w:rPr>
                <w:color w:val="000000"/>
              </w:rPr>
            </w:pPr>
            <w:r>
              <w:rPr>
                <w:color w:val="000000"/>
              </w:rPr>
              <w:t>1559</w:t>
            </w:r>
          </w:p>
        </w:tc>
        <w:tc>
          <w:tcPr>
            <w:tcW w:w="2952" w:type="dxa"/>
            <w:tcBorders>
              <w:bottom w:val="single" w:sz="4" w:space="0" w:color="auto"/>
            </w:tcBorders>
          </w:tcPr>
          <w:p w:rsidR="00B9207F" w:rsidRDefault="00B9207F" w:rsidP="005C067C">
            <w:pPr>
              <w:jc w:val="right"/>
              <w:rPr>
                <w:color w:val="000000"/>
              </w:rPr>
            </w:pPr>
            <w:r>
              <w:rPr>
                <w:color w:val="000000"/>
              </w:rPr>
              <w:t>100.00</w:t>
            </w:r>
          </w:p>
        </w:tc>
      </w:tr>
    </w:tbl>
    <w:p w:rsidR="00B9207F" w:rsidRPr="00B72461" w:rsidRDefault="00B9207F" w:rsidP="00B9207F">
      <w:pPr>
        <w:rPr>
          <w:color w:val="000000"/>
        </w:rPr>
      </w:pPr>
    </w:p>
    <w:p w:rsidR="00B9207F" w:rsidRDefault="00B9207F" w:rsidP="00B9207F">
      <w:pPr>
        <w:rPr>
          <w:b/>
          <w:bCs/>
        </w:rPr>
      </w:pPr>
    </w:p>
    <w:p w:rsidR="00B9207F" w:rsidRDefault="00B9207F" w:rsidP="00B9207F">
      <w:pPr>
        <w:rPr>
          <w:b/>
          <w:bCs/>
        </w:rPr>
      </w:pPr>
    </w:p>
    <w:p w:rsidR="003717B7" w:rsidRDefault="003717B7">
      <w:pPr>
        <w:rPr>
          <w:b/>
          <w:bCs/>
        </w:rPr>
      </w:pPr>
      <w:r>
        <w:rPr>
          <w:b/>
          <w:bCs/>
        </w:rPr>
        <w:br w:type="page"/>
      </w:r>
    </w:p>
    <w:p w:rsidR="00B9207F" w:rsidRPr="00B72461" w:rsidRDefault="00B9207F" w:rsidP="00B9207F">
      <w:pPr>
        <w:rPr>
          <w:b/>
          <w:bCs/>
        </w:rPr>
      </w:pPr>
      <w:r>
        <w:rPr>
          <w:b/>
          <w:bCs/>
        </w:rPr>
        <w:lastRenderedPageBreak/>
        <w:t>Table 2</w:t>
      </w:r>
      <w:r w:rsidRPr="00D55238">
        <w:rPr>
          <w:b/>
          <w:bCs/>
        </w:rPr>
        <w:t xml:space="preserve">. Terrorism and </w:t>
      </w:r>
      <w:r>
        <w:rPr>
          <w:b/>
          <w:bCs/>
        </w:rPr>
        <w:t>Government Torture</w:t>
      </w:r>
      <w:r w:rsidRPr="00D55238">
        <w:rPr>
          <w:b/>
          <w:bCs/>
        </w:rPr>
        <w:t xml:space="preserve"> (CIRI), 1995 to 2005</w:t>
      </w:r>
    </w:p>
    <w:p w:rsidR="00B9207F" w:rsidRPr="00B72461" w:rsidRDefault="00B9207F" w:rsidP="00B9207F"/>
    <w:tbl>
      <w:tblPr>
        <w:tblW w:w="9092" w:type="dxa"/>
        <w:tblLook w:val="00A0" w:firstRow="1" w:lastRow="0" w:firstColumn="1" w:lastColumn="0" w:noHBand="0" w:noVBand="0"/>
      </w:tblPr>
      <w:tblGrid>
        <w:gridCol w:w="2640"/>
        <w:gridCol w:w="1714"/>
        <w:gridCol w:w="1609"/>
        <w:gridCol w:w="1520"/>
        <w:gridCol w:w="1609"/>
      </w:tblGrid>
      <w:tr w:rsidR="008B3F17" w:rsidRPr="00A01FE6">
        <w:tc>
          <w:tcPr>
            <w:tcW w:w="2640" w:type="dxa"/>
          </w:tcPr>
          <w:p w:rsidR="008B3F17" w:rsidRPr="00A01FE6" w:rsidRDefault="008B3F17" w:rsidP="005C067C">
            <w:pPr>
              <w:rPr>
                <w:sz w:val="20"/>
                <w:szCs w:val="20"/>
              </w:rPr>
            </w:pPr>
          </w:p>
        </w:tc>
        <w:tc>
          <w:tcPr>
            <w:tcW w:w="6452" w:type="dxa"/>
            <w:gridSpan w:val="4"/>
          </w:tcPr>
          <w:p w:rsidR="008B3F17" w:rsidRPr="00A01FE6" w:rsidRDefault="008B3F17" w:rsidP="008B3F17">
            <w:pPr>
              <w:jc w:val="center"/>
              <w:rPr>
                <w:sz w:val="20"/>
                <w:szCs w:val="20"/>
              </w:rPr>
            </w:pPr>
            <w:r w:rsidRPr="00A01FE6">
              <w:rPr>
                <w:sz w:val="20"/>
                <w:szCs w:val="20"/>
              </w:rPr>
              <w:t>Dependent Variable:</w:t>
            </w:r>
          </w:p>
        </w:tc>
      </w:tr>
      <w:tr w:rsidR="008B3F17" w:rsidRPr="00A01FE6">
        <w:tc>
          <w:tcPr>
            <w:tcW w:w="2640" w:type="dxa"/>
            <w:tcBorders>
              <w:bottom w:val="single" w:sz="4" w:space="0" w:color="auto"/>
            </w:tcBorders>
          </w:tcPr>
          <w:p w:rsidR="008B3F17" w:rsidRPr="00A01FE6" w:rsidRDefault="008B3F17" w:rsidP="005C067C">
            <w:pPr>
              <w:rPr>
                <w:sz w:val="20"/>
                <w:szCs w:val="20"/>
              </w:rPr>
            </w:pPr>
          </w:p>
        </w:tc>
        <w:tc>
          <w:tcPr>
            <w:tcW w:w="1714" w:type="dxa"/>
            <w:tcBorders>
              <w:bottom w:val="single" w:sz="4" w:space="0" w:color="auto"/>
            </w:tcBorders>
          </w:tcPr>
          <w:p w:rsidR="008B3F17" w:rsidRPr="00A01FE6" w:rsidRDefault="008B3F17" w:rsidP="005C067C">
            <w:pPr>
              <w:jc w:val="center"/>
              <w:rPr>
                <w:sz w:val="20"/>
                <w:szCs w:val="20"/>
              </w:rPr>
            </w:pPr>
            <w:r w:rsidRPr="00A01FE6">
              <w:rPr>
                <w:sz w:val="20"/>
                <w:szCs w:val="20"/>
              </w:rPr>
              <w:t>Government (CIRI) Torture</w:t>
            </w:r>
          </w:p>
        </w:tc>
        <w:tc>
          <w:tcPr>
            <w:tcW w:w="1609" w:type="dxa"/>
            <w:tcBorders>
              <w:bottom w:val="single" w:sz="4" w:space="0" w:color="auto"/>
            </w:tcBorders>
          </w:tcPr>
          <w:p w:rsidR="008B3F17" w:rsidRPr="00A01FE6" w:rsidRDefault="008B3F17" w:rsidP="005C067C">
            <w:pPr>
              <w:jc w:val="center"/>
              <w:rPr>
                <w:sz w:val="20"/>
                <w:szCs w:val="20"/>
              </w:rPr>
            </w:pPr>
            <w:r w:rsidRPr="00A01FE6">
              <w:rPr>
                <w:sz w:val="20"/>
                <w:szCs w:val="20"/>
              </w:rPr>
              <w:t>Government (CIRI) Torture</w:t>
            </w:r>
          </w:p>
        </w:tc>
        <w:tc>
          <w:tcPr>
            <w:tcW w:w="1520" w:type="dxa"/>
            <w:tcBorders>
              <w:bottom w:val="single" w:sz="4" w:space="0" w:color="auto"/>
            </w:tcBorders>
          </w:tcPr>
          <w:p w:rsidR="008B3F17" w:rsidRPr="00A01FE6" w:rsidRDefault="008B3F17" w:rsidP="005C067C">
            <w:pPr>
              <w:jc w:val="center"/>
              <w:rPr>
                <w:sz w:val="20"/>
                <w:szCs w:val="20"/>
              </w:rPr>
            </w:pPr>
            <w:r w:rsidRPr="00A01FE6">
              <w:rPr>
                <w:sz w:val="20"/>
                <w:szCs w:val="20"/>
              </w:rPr>
              <w:t>Government (CIRI) Torture</w:t>
            </w:r>
          </w:p>
        </w:tc>
        <w:tc>
          <w:tcPr>
            <w:tcW w:w="1609" w:type="dxa"/>
            <w:tcBorders>
              <w:bottom w:val="single" w:sz="4" w:space="0" w:color="auto"/>
            </w:tcBorders>
          </w:tcPr>
          <w:p w:rsidR="008B3F17" w:rsidRPr="00A01FE6" w:rsidRDefault="008B3F17" w:rsidP="005C067C">
            <w:pPr>
              <w:jc w:val="center"/>
              <w:rPr>
                <w:sz w:val="20"/>
                <w:szCs w:val="20"/>
              </w:rPr>
            </w:pPr>
            <w:r w:rsidRPr="00A01FE6">
              <w:rPr>
                <w:sz w:val="20"/>
                <w:szCs w:val="20"/>
              </w:rPr>
              <w:t>Government (CIRI) Torture</w:t>
            </w:r>
          </w:p>
        </w:tc>
      </w:tr>
      <w:tr w:rsidR="008B3F17" w:rsidRPr="00A01FE6">
        <w:tc>
          <w:tcPr>
            <w:tcW w:w="2640" w:type="dxa"/>
            <w:tcBorders>
              <w:top w:val="single" w:sz="4" w:space="0" w:color="auto"/>
            </w:tcBorders>
          </w:tcPr>
          <w:p w:rsidR="008B3F17" w:rsidRPr="00A01FE6" w:rsidRDefault="008B3F17" w:rsidP="005C067C">
            <w:pPr>
              <w:rPr>
                <w:sz w:val="20"/>
                <w:szCs w:val="20"/>
              </w:rPr>
            </w:pPr>
          </w:p>
        </w:tc>
        <w:tc>
          <w:tcPr>
            <w:tcW w:w="1714" w:type="dxa"/>
            <w:tcBorders>
              <w:top w:val="single" w:sz="4" w:space="0" w:color="auto"/>
            </w:tcBorders>
          </w:tcPr>
          <w:p w:rsidR="008B3F17" w:rsidRPr="00A01FE6" w:rsidRDefault="008B3F17" w:rsidP="005C067C">
            <w:pPr>
              <w:jc w:val="center"/>
              <w:rPr>
                <w:sz w:val="20"/>
                <w:szCs w:val="20"/>
              </w:rPr>
            </w:pPr>
          </w:p>
        </w:tc>
        <w:tc>
          <w:tcPr>
            <w:tcW w:w="1609" w:type="dxa"/>
            <w:tcBorders>
              <w:top w:val="single" w:sz="4" w:space="0" w:color="auto"/>
            </w:tcBorders>
          </w:tcPr>
          <w:p w:rsidR="008B3F17" w:rsidRPr="00A01FE6" w:rsidRDefault="008B3F17" w:rsidP="005C067C">
            <w:pPr>
              <w:jc w:val="center"/>
              <w:rPr>
                <w:sz w:val="20"/>
                <w:szCs w:val="20"/>
              </w:rPr>
            </w:pPr>
          </w:p>
        </w:tc>
        <w:tc>
          <w:tcPr>
            <w:tcW w:w="1520" w:type="dxa"/>
            <w:tcBorders>
              <w:top w:val="single" w:sz="4" w:space="0" w:color="auto"/>
            </w:tcBorders>
          </w:tcPr>
          <w:p w:rsidR="008B3F17" w:rsidRPr="00A01FE6" w:rsidRDefault="008B3F17" w:rsidP="005C067C">
            <w:pPr>
              <w:jc w:val="center"/>
              <w:rPr>
                <w:sz w:val="20"/>
                <w:szCs w:val="20"/>
              </w:rPr>
            </w:pPr>
          </w:p>
        </w:tc>
        <w:tc>
          <w:tcPr>
            <w:tcW w:w="1609" w:type="dxa"/>
            <w:tcBorders>
              <w:top w:val="single" w:sz="4" w:space="0" w:color="auto"/>
            </w:tcBorders>
          </w:tcPr>
          <w:p w:rsidR="008B3F17" w:rsidRPr="00A01FE6" w:rsidRDefault="008B3F17" w:rsidP="005C067C">
            <w:pPr>
              <w:jc w:val="center"/>
              <w:rPr>
                <w:sz w:val="20"/>
                <w:szCs w:val="20"/>
              </w:rPr>
            </w:pPr>
          </w:p>
        </w:tc>
      </w:tr>
      <w:tr w:rsidR="008B3F17" w:rsidRPr="00A01FE6">
        <w:tc>
          <w:tcPr>
            <w:tcW w:w="2640" w:type="dxa"/>
          </w:tcPr>
          <w:p w:rsidR="008B3F17" w:rsidRPr="00A01FE6" w:rsidRDefault="008B3F17" w:rsidP="005C067C">
            <w:pPr>
              <w:rPr>
                <w:sz w:val="20"/>
                <w:szCs w:val="20"/>
              </w:rPr>
            </w:pPr>
            <w:r w:rsidRPr="00A01FE6">
              <w:rPr>
                <w:sz w:val="20"/>
                <w:szCs w:val="20"/>
              </w:rPr>
              <w:t>Domestic Terrorism (GTD)</w:t>
            </w:r>
          </w:p>
        </w:tc>
        <w:tc>
          <w:tcPr>
            <w:tcW w:w="1714" w:type="dxa"/>
          </w:tcPr>
          <w:p w:rsidR="008B3F17" w:rsidRPr="00A01FE6" w:rsidRDefault="008B3F17" w:rsidP="005C067C">
            <w:pPr>
              <w:jc w:val="center"/>
              <w:rPr>
                <w:sz w:val="20"/>
                <w:szCs w:val="20"/>
              </w:rPr>
            </w:pPr>
            <w:r w:rsidRPr="00A01FE6">
              <w:rPr>
                <w:sz w:val="20"/>
                <w:szCs w:val="20"/>
              </w:rPr>
              <w:t>.009 (.</w:t>
            </w:r>
            <w:r w:rsidRPr="00A01FE6">
              <w:rPr>
                <w:iCs/>
                <w:sz w:val="20"/>
                <w:szCs w:val="20"/>
              </w:rPr>
              <w:t>012</w:t>
            </w:r>
            <w:r w:rsidRPr="00A01FE6">
              <w:rPr>
                <w:sz w:val="20"/>
                <w:szCs w:val="20"/>
              </w:rPr>
              <w:t>)</w:t>
            </w:r>
          </w:p>
        </w:tc>
        <w:tc>
          <w:tcPr>
            <w:tcW w:w="1609" w:type="dxa"/>
          </w:tcPr>
          <w:p w:rsidR="008B3F17" w:rsidRPr="00A01FE6" w:rsidRDefault="008B3F17" w:rsidP="005C067C">
            <w:pPr>
              <w:jc w:val="center"/>
              <w:rPr>
                <w:sz w:val="20"/>
                <w:szCs w:val="20"/>
              </w:rPr>
            </w:pPr>
          </w:p>
        </w:tc>
        <w:tc>
          <w:tcPr>
            <w:tcW w:w="1520" w:type="dxa"/>
          </w:tcPr>
          <w:p w:rsidR="008B3F17" w:rsidRPr="00A01FE6" w:rsidRDefault="008B3F17" w:rsidP="001D391C">
            <w:pPr>
              <w:jc w:val="center"/>
              <w:rPr>
                <w:sz w:val="20"/>
                <w:szCs w:val="20"/>
              </w:rPr>
            </w:pPr>
            <w:r>
              <w:rPr>
                <w:sz w:val="20"/>
                <w:szCs w:val="20"/>
              </w:rPr>
              <w:t>.</w:t>
            </w:r>
            <w:r w:rsidR="001D391C">
              <w:rPr>
                <w:sz w:val="20"/>
                <w:szCs w:val="20"/>
              </w:rPr>
              <w:t>007</w:t>
            </w:r>
            <w:r>
              <w:rPr>
                <w:sz w:val="20"/>
                <w:szCs w:val="20"/>
              </w:rPr>
              <w:t xml:space="preserve"> (.</w:t>
            </w:r>
            <w:r w:rsidR="001D391C">
              <w:rPr>
                <w:sz w:val="20"/>
                <w:szCs w:val="20"/>
              </w:rPr>
              <w:t>012</w:t>
            </w:r>
            <w:r>
              <w:rPr>
                <w:sz w:val="20"/>
                <w:szCs w:val="20"/>
              </w:rPr>
              <w:t>)</w:t>
            </w:r>
          </w:p>
        </w:tc>
        <w:tc>
          <w:tcPr>
            <w:tcW w:w="1609" w:type="dxa"/>
          </w:tcPr>
          <w:p w:rsidR="008B3F17" w:rsidRPr="00A01FE6" w:rsidRDefault="008B3F17" w:rsidP="005C067C">
            <w:pPr>
              <w:jc w:val="center"/>
              <w:rPr>
                <w:sz w:val="20"/>
                <w:szCs w:val="20"/>
              </w:rPr>
            </w:pPr>
          </w:p>
        </w:tc>
      </w:tr>
      <w:tr w:rsidR="008B3F17" w:rsidRPr="00A01FE6">
        <w:tc>
          <w:tcPr>
            <w:tcW w:w="2640" w:type="dxa"/>
          </w:tcPr>
          <w:p w:rsidR="008B3F17" w:rsidRPr="00A01FE6" w:rsidRDefault="008B3F17" w:rsidP="005C067C">
            <w:pPr>
              <w:rPr>
                <w:sz w:val="20"/>
                <w:szCs w:val="20"/>
              </w:rPr>
            </w:pPr>
            <w:r w:rsidRPr="00A01FE6">
              <w:rPr>
                <w:sz w:val="20"/>
                <w:szCs w:val="20"/>
              </w:rPr>
              <w:t>Transnational Terrorism (ITERATE)</w:t>
            </w:r>
          </w:p>
        </w:tc>
        <w:tc>
          <w:tcPr>
            <w:tcW w:w="1714" w:type="dxa"/>
          </w:tcPr>
          <w:p w:rsidR="008B3F17" w:rsidRPr="00A01FE6" w:rsidRDefault="008B3F17" w:rsidP="005C067C">
            <w:pPr>
              <w:jc w:val="center"/>
              <w:rPr>
                <w:sz w:val="20"/>
                <w:szCs w:val="20"/>
              </w:rPr>
            </w:pPr>
          </w:p>
        </w:tc>
        <w:tc>
          <w:tcPr>
            <w:tcW w:w="1609" w:type="dxa"/>
          </w:tcPr>
          <w:p w:rsidR="008B3F17" w:rsidRPr="00A01FE6" w:rsidRDefault="008B3F17" w:rsidP="005C067C">
            <w:pPr>
              <w:jc w:val="center"/>
              <w:rPr>
                <w:sz w:val="20"/>
                <w:szCs w:val="20"/>
              </w:rPr>
            </w:pPr>
            <w:r w:rsidRPr="00A01FE6">
              <w:rPr>
                <w:sz w:val="20"/>
                <w:szCs w:val="20"/>
              </w:rPr>
              <w:t>.053 (.</w:t>
            </w:r>
            <w:r w:rsidRPr="00A01FE6">
              <w:rPr>
                <w:iCs/>
                <w:sz w:val="20"/>
                <w:szCs w:val="20"/>
              </w:rPr>
              <w:t>042</w:t>
            </w:r>
            <w:r w:rsidRPr="00A01FE6">
              <w:rPr>
                <w:sz w:val="20"/>
                <w:szCs w:val="20"/>
              </w:rPr>
              <w:t>)</w:t>
            </w:r>
          </w:p>
        </w:tc>
        <w:tc>
          <w:tcPr>
            <w:tcW w:w="1520" w:type="dxa"/>
          </w:tcPr>
          <w:p w:rsidR="008B3F17" w:rsidRPr="00A01FE6" w:rsidRDefault="008B3F17" w:rsidP="001D391C">
            <w:pPr>
              <w:jc w:val="center"/>
              <w:rPr>
                <w:sz w:val="20"/>
                <w:szCs w:val="20"/>
              </w:rPr>
            </w:pPr>
            <w:r>
              <w:rPr>
                <w:sz w:val="20"/>
                <w:szCs w:val="20"/>
              </w:rPr>
              <w:t>.</w:t>
            </w:r>
            <w:r w:rsidR="001D391C">
              <w:rPr>
                <w:sz w:val="20"/>
                <w:szCs w:val="20"/>
              </w:rPr>
              <w:t>037</w:t>
            </w:r>
            <w:r>
              <w:rPr>
                <w:sz w:val="20"/>
                <w:szCs w:val="20"/>
              </w:rPr>
              <w:t xml:space="preserve">  (.</w:t>
            </w:r>
            <w:r w:rsidR="001D391C">
              <w:rPr>
                <w:sz w:val="20"/>
                <w:szCs w:val="20"/>
              </w:rPr>
              <w:t>036</w:t>
            </w:r>
            <w:r>
              <w:rPr>
                <w:sz w:val="20"/>
                <w:szCs w:val="20"/>
              </w:rPr>
              <w:t>)</w:t>
            </w:r>
          </w:p>
        </w:tc>
        <w:tc>
          <w:tcPr>
            <w:tcW w:w="1609" w:type="dxa"/>
          </w:tcPr>
          <w:p w:rsidR="008B3F17" w:rsidRPr="00A01FE6" w:rsidRDefault="008B3F17" w:rsidP="005C067C">
            <w:pPr>
              <w:jc w:val="center"/>
              <w:rPr>
                <w:sz w:val="20"/>
                <w:szCs w:val="20"/>
              </w:rPr>
            </w:pPr>
          </w:p>
        </w:tc>
      </w:tr>
      <w:tr w:rsidR="008B3F17" w:rsidRPr="00A01FE6">
        <w:tc>
          <w:tcPr>
            <w:tcW w:w="2640" w:type="dxa"/>
          </w:tcPr>
          <w:p w:rsidR="008B3F17" w:rsidRPr="00A01FE6" w:rsidRDefault="008B3F17" w:rsidP="005C067C">
            <w:pPr>
              <w:rPr>
                <w:sz w:val="20"/>
                <w:szCs w:val="20"/>
              </w:rPr>
            </w:pPr>
            <w:r w:rsidRPr="00A01FE6">
              <w:rPr>
                <w:sz w:val="20"/>
                <w:szCs w:val="20"/>
              </w:rPr>
              <w:t>All Terrorism (GTD)</w:t>
            </w:r>
          </w:p>
        </w:tc>
        <w:tc>
          <w:tcPr>
            <w:tcW w:w="1714" w:type="dxa"/>
          </w:tcPr>
          <w:p w:rsidR="008B3F17" w:rsidRPr="00A01FE6" w:rsidRDefault="008B3F17" w:rsidP="005C067C">
            <w:pPr>
              <w:jc w:val="center"/>
              <w:rPr>
                <w:sz w:val="20"/>
                <w:szCs w:val="20"/>
              </w:rPr>
            </w:pPr>
          </w:p>
        </w:tc>
        <w:tc>
          <w:tcPr>
            <w:tcW w:w="1609" w:type="dxa"/>
          </w:tcPr>
          <w:p w:rsidR="008B3F17" w:rsidRPr="00A01FE6" w:rsidRDefault="008B3F17" w:rsidP="005C067C">
            <w:pPr>
              <w:jc w:val="center"/>
              <w:rPr>
                <w:sz w:val="20"/>
                <w:szCs w:val="20"/>
              </w:rPr>
            </w:pPr>
          </w:p>
        </w:tc>
        <w:tc>
          <w:tcPr>
            <w:tcW w:w="1520" w:type="dxa"/>
          </w:tcPr>
          <w:p w:rsidR="008B3F17" w:rsidRPr="00A01FE6" w:rsidRDefault="008B3F17" w:rsidP="005C067C">
            <w:pPr>
              <w:jc w:val="center"/>
              <w:rPr>
                <w:sz w:val="20"/>
                <w:szCs w:val="20"/>
              </w:rPr>
            </w:pPr>
          </w:p>
        </w:tc>
        <w:tc>
          <w:tcPr>
            <w:tcW w:w="1609" w:type="dxa"/>
          </w:tcPr>
          <w:p w:rsidR="008B3F17" w:rsidRPr="00A01FE6" w:rsidRDefault="008B3F17" w:rsidP="005C067C">
            <w:pPr>
              <w:jc w:val="center"/>
              <w:rPr>
                <w:sz w:val="20"/>
                <w:szCs w:val="20"/>
              </w:rPr>
            </w:pPr>
            <w:r w:rsidRPr="00A01FE6">
              <w:rPr>
                <w:sz w:val="20"/>
                <w:szCs w:val="20"/>
              </w:rPr>
              <w:t>.008 (.</w:t>
            </w:r>
            <w:r w:rsidRPr="00A01FE6">
              <w:rPr>
                <w:iCs/>
                <w:sz w:val="20"/>
                <w:szCs w:val="20"/>
              </w:rPr>
              <w:t>011</w:t>
            </w:r>
            <w:r w:rsidRPr="00A01FE6">
              <w:rPr>
                <w:sz w:val="20"/>
                <w:szCs w:val="20"/>
              </w:rPr>
              <w:t>)</w:t>
            </w:r>
          </w:p>
        </w:tc>
      </w:tr>
      <w:tr w:rsidR="008B3F17" w:rsidRPr="00A01FE6">
        <w:tc>
          <w:tcPr>
            <w:tcW w:w="2640" w:type="dxa"/>
          </w:tcPr>
          <w:p w:rsidR="008B3F17" w:rsidRPr="00A01FE6" w:rsidRDefault="008B3F17" w:rsidP="005C067C">
            <w:pPr>
              <w:rPr>
                <w:sz w:val="20"/>
                <w:szCs w:val="20"/>
              </w:rPr>
            </w:pPr>
            <w:r w:rsidRPr="00A01FE6">
              <w:rPr>
                <w:sz w:val="20"/>
                <w:szCs w:val="20"/>
              </w:rPr>
              <w:t xml:space="preserve">Regime Type </w:t>
            </w:r>
          </w:p>
        </w:tc>
        <w:tc>
          <w:tcPr>
            <w:tcW w:w="1714" w:type="dxa"/>
          </w:tcPr>
          <w:p w:rsidR="008B3F17" w:rsidRPr="00A01FE6" w:rsidRDefault="008B3F17" w:rsidP="005C067C">
            <w:pPr>
              <w:jc w:val="center"/>
              <w:rPr>
                <w:sz w:val="20"/>
                <w:szCs w:val="20"/>
              </w:rPr>
            </w:pPr>
            <w:r w:rsidRPr="00A01FE6">
              <w:rPr>
                <w:sz w:val="20"/>
                <w:szCs w:val="20"/>
              </w:rPr>
              <w:t>-.078 (.</w:t>
            </w:r>
            <w:r w:rsidRPr="00A01FE6">
              <w:rPr>
                <w:iCs/>
                <w:sz w:val="20"/>
                <w:szCs w:val="20"/>
              </w:rPr>
              <w:t>018</w:t>
            </w:r>
            <w:r w:rsidRPr="00A01FE6">
              <w:rPr>
                <w:sz w:val="20"/>
                <w:szCs w:val="20"/>
              </w:rPr>
              <w:t>)***</w:t>
            </w:r>
          </w:p>
        </w:tc>
        <w:tc>
          <w:tcPr>
            <w:tcW w:w="1609" w:type="dxa"/>
          </w:tcPr>
          <w:p w:rsidR="008B3F17" w:rsidRPr="00A01FE6" w:rsidRDefault="008B3F17" w:rsidP="005C067C">
            <w:pPr>
              <w:jc w:val="center"/>
              <w:rPr>
                <w:sz w:val="20"/>
                <w:szCs w:val="20"/>
              </w:rPr>
            </w:pPr>
            <w:r w:rsidRPr="00A01FE6">
              <w:rPr>
                <w:sz w:val="20"/>
                <w:szCs w:val="20"/>
              </w:rPr>
              <w:t>-.077 (.</w:t>
            </w:r>
            <w:r w:rsidRPr="00A01FE6">
              <w:rPr>
                <w:iCs/>
                <w:sz w:val="20"/>
                <w:szCs w:val="20"/>
              </w:rPr>
              <w:t>018</w:t>
            </w:r>
            <w:r w:rsidRPr="00A01FE6">
              <w:rPr>
                <w:sz w:val="20"/>
                <w:szCs w:val="20"/>
              </w:rPr>
              <w:t>)***</w:t>
            </w:r>
          </w:p>
        </w:tc>
        <w:tc>
          <w:tcPr>
            <w:tcW w:w="1520" w:type="dxa"/>
          </w:tcPr>
          <w:p w:rsidR="008B3F17" w:rsidRPr="00A01FE6" w:rsidRDefault="008B3F17" w:rsidP="001D391C">
            <w:pPr>
              <w:jc w:val="center"/>
              <w:rPr>
                <w:sz w:val="20"/>
                <w:szCs w:val="20"/>
              </w:rPr>
            </w:pPr>
            <w:r>
              <w:rPr>
                <w:sz w:val="20"/>
                <w:szCs w:val="20"/>
              </w:rPr>
              <w:t>-.</w:t>
            </w:r>
            <w:r w:rsidR="001D391C">
              <w:rPr>
                <w:sz w:val="20"/>
                <w:szCs w:val="20"/>
              </w:rPr>
              <w:t>078</w:t>
            </w:r>
            <w:r>
              <w:rPr>
                <w:sz w:val="20"/>
                <w:szCs w:val="20"/>
              </w:rPr>
              <w:t xml:space="preserve"> (.</w:t>
            </w:r>
            <w:r w:rsidR="001D391C">
              <w:rPr>
                <w:sz w:val="20"/>
                <w:szCs w:val="20"/>
              </w:rPr>
              <w:t>018</w:t>
            </w:r>
            <w:r>
              <w:rPr>
                <w:sz w:val="20"/>
                <w:szCs w:val="20"/>
              </w:rPr>
              <w:t>)***</w:t>
            </w:r>
          </w:p>
        </w:tc>
        <w:tc>
          <w:tcPr>
            <w:tcW w:w="1609" w:type="dxa"/>
          </w:tcPr>
          <w:p w:rsidR="008B3F17" w:rsidRPr="00A01FE6" w:rsidRDefault="008B3F17" w:rsidP="005C067C">
            <w:pPr>
              <w:jc w:val="center"/>
              <w:rPr>
                <w:sz w:val="20"/>
                <w:szCs w:val="20"/>
              </w:rPr>
            </w:pPr>
            <w:r w:rsidRPr="00A01FE6">
              <w:rPr>
                <w:sz w:val="20"/>
                <w:szCs w:val="20"/>
              </w:rPr>
              <w:t>-.078 (.</w:t>
            </w:r>
            <w:r w:rsidRPr="00A01FE6">
              <w:rPr>
                <w:iCs/>
                <w:sz w:val="20"/>
                <w:szCs w:val="20"/>
              </w:rPr>
              <w:t>018</w:t>
            </w:r>
            <w:r w:rsidRPr="00A01FE6">
              <w:rPr>
                <w:sz w:val="20"/>
                <w:szCs w:val="20"/>
              </w:rPr>
              <w:t>)***</w:t>
            </w:r>
          </w:p>
        </w:tc>
      </w:tr>
      <w:tr w:rsidR="008B3F17" w:rsidRPr="00A01FE6">
        <w:tc>
          <w:tcPr>
            <w:tcW w:w="2640" w:type="dxa"/>
          </w:tcPr>
          <w:p w:rsidR="008B3F17" w:rsidRPr="00A01FE6" w:rsidRDefault="008B3F17" w:rsidP="005C067C">
            <w:pPr>
              <w:rPr>
                <w:sz w:val="20"/>
                <w:szCs w:val="20"/>
              </w:rPr>
            </w:pPr>
            <w:r w:rsidRPr="00A01FE6">
              <w:rPr>
                <w:sz w:val="20"/>
                <w:szCs w:val="20"/>
              </w:rPr>
              <w:t>GDP Per Capita</w:t>
            </w:r>
          </w:p>
        </w:tc>
        <w:tc>
          <w:tcPr>
            <w:tcW w:w="1714" w:type="dxa"/>
          </w:tcPr>
          <w:p w:rsidR="008B3F17" w:rsidRPr="00A01FE6" w:rsidRDefault="008B3F17" w:rsidP="005C067C">
            <w:pPr>
              <w:jc w:val="center"/>
              <w:rPr>
                <w:sz w:val="20"/>
                <w:szCs w:val="20"/>
              </w:rPr>
            </w:pPr>
            <w:r w:rsidRPr="00A01FE6">
              <w:rPr>
                <w:sz w:val="20"/>
                <w:szCs w:val="20"/>
              </w:rPr>
              <w:t>-.001 (.</w:t>
            </w:r>
            <w:r w:rsidRPr="00A01FE6">
              <w:rPr>
                <w:iCs/>
                <w:sz w:val="20"/>
                <w:szCs w:val="20"/>
              </w:rPr>
              <w:t>001</w:t>
            </w:r>
            <w:r w:rsidRPr="00A01FE6">
              <w:rPr>
                <w:sz w:val="20"/>
                <w:szCs w:val="20"/>
              </w:rPr>
              <w:t>)***</w:t>
            </w:r>
          </w:p>
        </w:tc>
        <w:tc>
          <w:tcPr>
            <w:tcW w:w="1609" w:type="dxa"/>
          </w:tcPr>
          <w:p w:rsidR="008B3F17" w:rsidRPr="00A01FE6" w:rsidRDefault="008B3F17" w:rsidP="005C067C">
            <w:pPr>
              <w:jc w:val="center"/>
              <w:rPr>
                <w:sz w:val="20"/>
                <w:szCs w:val="20"/>
              </w:rPr>
            </w:pPr>
            <w:r w:rsidRPr="00A01FE6">
              <w:rPr>
                <w:sz w:val="20"/>
                <w:szCs w:val="20"/>
              </w:rPr>
              <w:t>-.001 (.</w:t>
            </w:r>
            <w:r w:rsidRPr="00A01FE6">
              <w:rPr>
                <w:iCs/>
                <w:sz w:val="20"/>
                <w:szCs w:val="20"/>
              </w:rPr>
              <w:t>001</w:t>
            </w:r>
            <w:r w:rsidRPr="00A01FE6">
              <w:rPr>
                <w:sz w:val="20"/>
                <w:szCs w:val="20"/>
              </w:rPr>
              <w:t>)***</w:t>
            </w:r>
          </w:p>
        </w:tc>
        <w:tc>
          <w:tcPr>
            <w:tcW w:w="1520" w:type="dxa"/>
          </w:tcPr>
          <w:p w:rsidR="008B3F17" w:rsidRPr="00A01FE6" w:rsidRDefault="008B3F17" w:rsidP="001D391C">
            <w:pPr>
              <w:jc w:val="center"/>
              <w:rPr>
                <w:sz w:val="20"/>
                <w:szCs w:val="20"/>
              </w:rPr>
            </w:pPr>
            <w:r>
              <w:rPr>
                <w:sz w:val="20"/>
                <w:szCs w:val="20"/>
              </w:rPr>
              <w:t>-.001 (.</w:t>
            </w:r>
            <w:r w:rsidR="001D391C">
              <w:rPr>
                <w:sz w:val="20"/>
                <w:szCs w:val="20"/>
              </w:rPr>
              <w:t>001</w:t>
            </w:r>
            <w:r>
              <w:rPr>
                <w:sz w:val="20"/>
                <w:szCs w:val="20"/>
              </w:rPr>
              <w:t>)***</w:t>
            </w:r>
          </w:p>
        </w:tc>
        <w:tc>
          <w:tcPr>
            <w:tcW w:w="1609" w:type="dxa"/>
          </w:tcPr>
          <w:p w:rsidR="008B3F17" w:rsidRPr="00A01FE6" w:rsidRDefault="008B3F17" w:rsidP="005C067C">
            <w:pPr>
              <w:jc w:val="center"/>
              <w:rPr>
                <w:sz w:val="20"/>
                <w:szCs w:val="20"/>
              </w:rPr>
            </w:pPr>
            <w:r w:rsidRPr="00A01FE6">
              <w:rPr>
                <w:sz w:val="20"/>
                <w:szCs w:val="20"/>
              </w:rPr>
              <w:t>-.001 (.</w:t>
            </w:r>
            <w:r w:rsidRPr="00A01FE6">
              <w:rPr>
                <w:iCs/>
                <w:sz w:val="20"/>
                <w:szCs w:val="20"/>
              </w:rPr>
              <w:t>001</w:t>
            </w:r>
            <w:r w:rsidRPr="00A01FE6">
              <w:rPr>
                <w:sz w:val="20"/>
                <w:szCs w:val="20"/>
              </w:rPr>
              <w:t>)***</w:t>
            </w:r>
          </w:p>
        </w:tc>
      </w:tr>
      <w:tr w:rsidR="008B3F17" w:rsidRPr="00A01FE6">
        <w:tc>
          <w:tcPr>
            <w:tcW w:w="2640" w:type="dxa"/>
          </w:tcPr>
          <w:p w:rsidR="008B3F17" w:rsidRPr="00A01FE6" w:rsidRDefault="008B3F17" w:rsidP="005C067C">
            <w:pPr>
              <w:rPr>
                <w:sz w:val="20"/>
                <w:szCs w:val="20"/>
              </w:rPr>
            </w:pPr>
            <w:r w:rsidRPr="00A01FE6">
              <w:rPr>
                <w:sz w:val="20"/>
                <w:szCs w:val="20"/>
              </w:rPr>
              <w:t>Population</w:t>
            </w:r>
          </w:p>
        </w:tc>
        <w:tc>
          <w:tcPr>
            <w:tcW w:w="1714" w:type="dxa"/>
          </w:tcPr>
          <w:p w:rsidR="008B3F17" w:rsidRPr="00A01FE6" w:rsidRDefault="008B3F17" w:rsidP="005C067C">
            <w:pPr>
              <w:jc w:val="center"/>
              <w:rPr>
                <w:sz w:val="20"/>
                <w:szCs w:val="20"/>
              </w:rPr>
            </w:pPr>
            <w:r w:rsidRPr="00A01FE6">
              <w:rPr>
                <w:sz w:val="20"/>
                <w:szCs w:val="20"/>
              </w:rPr>
              <w:t>.001 (.</w:t>
            </w:r>
            <w:r w:rsidRPr="00A01FE6">
              <w:rPr>
                <w:iCs/>
                <w:sz w:val="20"/>
                <w:szCs w:val="20"/>
              </w:rPr>
              <w:t>001</w:t>
            </w:r>
            <w:r w:rsidRPr="00A01FE6">
              <w:rPr>
                <w:sz w:val="20"/>
                <w:szCs w:val="20"/>
              </w:rPr>
              <w:t>)***</w:t>
            </w:r>
          </w:p>
        </w:tc>
        <w:tc>
          <w:tcPr>
            <w:tcW w:w="1609" w:type="dxa"/>
          </w:tcPr>
          <w:p w:rsidR="008B3F17" w:rsidRPr="00A01FE6" w:rsidRDefault="008B3F17" w:rsidP="005C067C">
            <w:pPr>
              <w:jc w:val="center"/>
              <w:rPr>
                <w:sz w:val="20"/>
                <w:szCs w:val="20"/>
              </w:rPr>
            </w:pPr>
            <w:r w:rsidRPr="00A01FE6">
              <w:rPr>
                <w:sz w:val="20"/>
                <w:szCs w:val="20"/>
              </w:rPr>
              <w:t>.001 (.</w:t>
            </w:r>
            <w:r w:rsidRPr="00A01FE6">
              <w:rPr>
                <w:iCs/>
                <w:sz w:val="20"/>
                <w:szCs w:val="20"/>
              </w:rPr>
              <w:t>001</w:t>
            </w:r>
            <w:r w:rsidRPr="00A01FE6">
              <w:rPr>
                <w:sz w:val="20"/>
                <w:szCs w:val="20"/>
              </w:rPr>
              <w:t>)***</w:t>
            </w:r>
          </w:p>
        </w:tc>
        <w:tc>
          <w:tcPr>
            <w:tcW w:w="1520" w:type="dxa"/>
          </w:tcPr>
          <w:p w:rsidR="008B3F17" w:rsidRPr="00A01FE6" w:rsidRDefault="008B3F17" w:rsidP="001D391C">
            <w:pPr>
              <w:jc w:val="center"/>
              <w:rPr>
                <w:sz w:val="20"/>
                <w:szCs w:val="20"/>
              </w:rPr>
            </w:pPr>
            <w:r>
              <w:rPr>
                <w:sz w:val="20"/>
                <w:szCs w:val="20"/>
              </w:rPr>
              <w:t>.001 (.</w:t>
            </w:r>
            <w:r w:rsidR="001D391C">
              <w:rPr>
                <w:sz w:val="20"/>
                <w:szCs w:val="20"/>
              </w:rPr>
              <w:t>001</w:t>
            </w:r>
            <w:r>
              <w:rPr>
                <w:sz w:val="20"/>
                <w:szCs w:val="20"/>
              </w:rPr>
              <w:t>)***</w:t>
            </w:r>
          </w:p>
        </w:tc>
        <w:tc>
          <w:tcPr>
            <w:tcW w:w="1609" w:type="dxa"/>
          </w:tcPr>
          <w:p w:rsidR="008B3F17" w:rsidRPr="00A01FE6" w:rsidRDefault="008B3F17" w:rsidP="005C067C">
            <w:pPr>
              <w:jc w:val="center"/>
              <w:rPr>
                <w:sz w:val="20"/>
                <w:szCs w:val="20"/>
              </w:rPr>
            </w:pPr>
            <w:r w:rsidRPr="00A01FE6">
              <w:rPr>
                <w:sz w:val="20"/>
                <w:szCs w:val="20"/>
              </w:rPr>
              <w:t>.001 (.</w:t>
            </w:r>
            <w:r w:rsidRPr="00A01FE6">
              <w:rPr>
                <w:iCs/>
                <w:sz w:val="20"/>
                <w:szCs w:val="20"/>
              </w:rPr>
              <w:t>001</w:t>
            </w:r>
            <w:r w:rsidRPr="00A01FE6">
              <w:rPr>
                <w:sz w:val="20"/>
                <w:szCs w:val="20"/>
              </w:rPr>
              <w:t>)***</w:t>
            </w:r>
          </w:p>
        </w:tc>
      </w:tr>
      <w:tr w:rsidR="008B3F17" w:rsidRPr="00A01FE6">
        <w:tc>
          <w:tcPr>
            <w:tcW w:w="2640" w:type="dxa"/>
          </w:tcPr>
          <w:p w:rsidR="008B3F17" w:rsidRPr="00A01FE6" w:rsidRDefault="008B3F17" w:rsidP="006E6134">
            <w:pPr>
              <w:rPr>
                <w:sz w:val="20"/>
                <w:szCs w:val="20"/>
              </w:rPr>
            </w:pPr>
            <w:r w:rsidRPr="00A01FE6">
              <w:rPr>
                <w:sz w:val="20"/>
                <w:szCs w:val="20"/>
              </w:rPr>
              <w:t xml:space="preserve">Civil War </w:t>
            </w:r>
          </w:p>
        </w:tc>
        <w:tc>
          <w:tcPr>
            <w:tcW w:w="1714" w:type="dxa"/>
          </w:tcPr>
          <w:p w:rsidR="008B3F17" w:rsidRPr="00A01FE6" w:rsidRDefault="008B3F17" w:rsidP="005C067C">
            <w:pPr>
              <w:jc w:val="center"/>
              <w:rPr>
                <w:sz w:val="20"/>
                <w:szCs w:val="20"/>
              </w:rPr>
            </w:pPr>
            <w:r w:rsidRPr="00A01FE6">
              <w:rPr>
                <w:sz w:val="20"/>
                <w:szCs w:val="20"/>
              </w:rPr>
              <w:t>.523 (.</w:t>
            </w:r>
            <w:r w:rsidRPr="00A01FE6">
              <w:rPr>
                <w:iCs/>
                <w:sz w:val="20"/>
                <w:szCs w:val="20"/>
              </w:rPr>
              <w:t>231</w:t>
            </w:r>
            <w:r w:rsidRPr="00A01FE6">
              <w:rPr>
                <w:sz w:val="20"/>
                <w:szCs w:val="20"/>
              </w:rPr>
              <w:t>)**</w:t>
            </w:r>
          </w:p>
        </w:tc>
        <w:tc>
          <w:tcPr>
            <w:tcW w:w="1609" w:type="dxa"/>
          </w:tcPr>
          <w:p w:rsidR="008B3F17" w:rsidRPr="00A01FE6" w:rsidRDefault="008B3F17" w:rsidP="005C067C">
            <w:pPr>
              <w:jc w:val="center"/>
              <w:rPr>
                <w:sz w:val="20"/>
                <w:szCs w:val="20"/>
              </w:rPr>
            </w:pPr>
            <w:r w:rsidRPr="00A01FE6">
              <w:rPr>
                <w:sz w:val="20"/>
                <w:szCs w:val="20"/>
              </w:rPr>
              <w:t>.562 (.</w:t>
            </w:r>
            <w:r w:rsidRPr="00A01FE6">
              <w:rPr>
                <w:iCs/>
                <w:sz w:val="20"/>
                <w:szCs w:val="20"/>
              </w:rPr>
              <w:t>223</w:t>
            </w:r>
            <w:r w:rsidRPr="00A01FE6">
              <w:rPr>
                <w:sz w:val="20"/>
                <w:szCs w:val="20"/>
              </w:rPr>
              <w:t>)**</w:t>
            </w:r>
          </w:p>
        </w:tc>
        <w:tc>
          <w:tcPr>
            <w:tcW w:w="1520" w:type="dxa"/>
          </w:tcPr>
          <w:p w:rsidR="008B3F17" w:rsidRPr="00A01FE6" w:rsidRDefault="008B3F17" w:rsidP="001D391C">
            <w:pPr>
              <w:jc w:val="center"/>
              <w:rPr>
                <w:sz w:val="20"/>
                <w:szCs w:val="20"/>
              </w:rPr>
            </w:pPr>
            <w:r>
              <w:rPr>
                <w:sz w:val="20"/>
                <w:szCs w:val="20"/>
              </w:rPr>
              <w:t>.</w:t>
            </w:r>
            <w:r w:rsidR="001D391C">
              <w:rPr>
                <w:sz w:val="20"/>
                <w:szCs w:val="20"/>
              </w:rPr>
              <w:t>524</w:t>
            </w:r>
            <w:r>
              <w:rPr>
                <w:sz w:val="20"/>
                <w:szCs w:val="20"/>
              </w:rPr>
              <w:t xml:space="preserve"> (.</w:t>
            </w:r>
            <w:r w:rsidR="001D391C">
              <w:rPr>
                <w:sz w:val="20"/>
                <w:szCs w:val="20"/>
              </w:rPr>
              <w:t>229</w:t>
            </w:r>
            <w:r>
              <w:rPr>
                <w:sz w:val="20"/>
                <w:szCs w:val="20"/>
              </w:rPr>
              <w:t>)</w:t>
            </w:r>
            <w:r w:rsidR="001D391C">
              <w:rPr>
                <w:sz w:val="20"/>
                <w:szCs w:val="20"/>
              </w:rPr>
              <w:t>*</w:t>
            </w:r>
            <w:r>
              <w:rPr>
                <w:sz w:val="20"/>
                <w:szCs w:val="20"/>
              </w:rPr>
              <w:t>*</w:t>
            </w:r>
          </w:p>
        </w:tc>
        <w:tc>
          <w:tcPr>
            <w:tcW w:w="1609" w:type="dxa"/>
          </w:tcPr>
          <w:p w:rsidR="008B3F17" w:rsidRPr="00A01FE6" w:rsidRDefault="008B3F17" w:rsidP="005C067C">
            <w:pPr>
              <w:jc w:val="center"/>
              <w:rPr>
                <w:sz w:val="20"/>
                <w:szCs w:val="20"/>
              </w:rPr>
            </w:pPr>
            <w:r w:rsidRPr="00A01FE6">
              <w:rPr>
                <w:sz w:val="20"/>
                <w:szCs w:val="20"/>
              </w:rPr>
              <w:t>.502 (.</w:t>
            </w:r>
            <w:r w:rsidRPr="00A01FE6">
              <w:rPr>
                <w:iCs/>
                <w:sz w:val="20"/>
                <w:szCs w:val="20"/>
              </w:rPr>
              <w:t>234</w:t>
            </w:r>
            <w:r w:rsidRPr="00A01FE6">
              <w:rPr>
                <w:sz w:val="20"/>
                <w:szCs w:val="20"/>
              </w:rPr>
              <w:t>)**</w:t>
            </w:r>
          </w:p>
        </w:tc>
      </w:tr>
      <w:tr w:rsidR="008B3F17" w:rsidRPr="00A01FE6">
        <w:tc>
          <w:tcPr>
            <w:tcW w:w="2640" w:type="dxa"/>
          </w:tcPr>
          <w:p w:rsidR="008B3F17" w:rsidRPr="00A01FE6" w:rsidRDefault="008B3F17" w:rsidP="006E6134">
            <w:pPr>
              <w:rPr>
                <w:sz w:val="20"/>
                <w:szCs w:val="20"/>
              </w:rPr>
            </w:pPr>
            <w:r w:rsidRPr="00A01FE6">
              <w:rPr>
                <w:sz w:val="20"/>
                <w:szCs w:val="20"/>
              </w:rPr>
              <w:t xml:space="preserve">International War </w:t>
            </w:r>
          </w:p>
        </w:tc>
        <w:tc>
          <w:tcPr>
            <w:tcW w:w="1714" w:type="dxa"/>
          </w:tcPr>
          <w:p w:rsidR="008B3F17" w:rsidRPr="00A01FE6" w:rsidRDefault="008B3F17" w:rsidP="005C067C">
            <w:pPr>
              <w:jc w:val="center"/>
              <w:rPr>
                <w:sz w:val="20"/>
                <w:szCs w:val="20"/>
              </w:rPr>
            </w:pPr>
            <w:r w:rsidRPr="00A01FE6">
              <w:rPr>
                <w:sz w:val="20"/>
                <w:szCs w:val="20"/>
              </w:rPr>
              <w:t>.230 (.</w:t>
            </w:r>
            <w:r w:rsidRPr="00A01FE6">
              <w:rPr>
                <w:iCs/>
                <w:sz w:val="20"/>
                <w:szCs w:val="20"/>
              </w:rPr>
              <w:t>206</w:t>
            </w:r>
            <w:r w:rsidRPr="00A01FE6">
              <w:rPr>
                <w:sz w:val="20"/>
                <w:szCs w:val="20"/>
              </w:rPr>
              <w:t>)</w:t>
            </w:r>
          </w:p>
        </w:tc>
        <w:tc>
          <w:tcPr>
            <w:tcW w:w="1609" w:type="dxa"/>
          </w:tcPr>
          <w:p w:rsidR="008B3F17" w:rsidRPr="00A01FE6" w:rsidRDefault="008B3F17" w:rsidP="005C067C">
            <w:pPr>
              <w:jc w:val="center"/>
              <w:rPr>
                <w:sz w:val="20"/>
                <w:szCs w:val="20"/>
              </w:rPr>
            </w:pPr>
            <w:r w:rsidRPr="00A01FE6">
              <w:rPr>
                <w:sz w:val="20"/>
                <w:szCs w:val="20"/>
              </w:rPr>
              <w:t>.249 (.</w:t>
            </w:r>
            <w:r w:rsidRPr="00A01FE6">
              <w:rPr>
                <w:iCs/>
                <w:sz w:val="20"/>
                <w:szCs w:val="20"/>
              </w:rPr>
              <w:t>199</w:t>
            </w:r>
            <w:r w:rsidRPr="00A01FE6">
              <w:rPr>
                <w:sz w:val="20"/>
                <w:szCs w:val="20"/>
              </w:rPr>
              <w:t>)</w:t>
            </w:r>
          </w:p>
        </w:tc>
        <w:tc>
          <w:tcPr>
            <w:tcW w:w="1520" w:type="dxa"/>
          </w:tcPr>
          <w:p w:rsidR="008B3F17" w:rsidRPr="00A01FE6" w:rsidRDefault="008B3F17" w:rsidP="001D391C">
            <w:pPr>
              <w:jc w:val="center"/>
              <w:rPr>
                <w:sz w:val="20"/>
                <w:szCs w:val="20"/>
              </w:rPr>
            </w:pPr>
            <w:r>
              <w:rPr>
                <w:sz w:val="20"/>
                <w:szCs w:val="20"/>
              </w:rPr>
              <w:t>.</w:t>
            </w:r>
            <w:r w:rsidR="001D391C">
              <w:rPr>
                <w:sz w:val="20"/>
                <w:szCs w:val="20"/>
              </w:rPr>
              <w:t>235 (.201)</w:t>
            </w:r>
          </w:p>
        </w:tc>
        <w:tc>
          <w:tcPr>
            <w:tcW w:w="1609" w:type="dxa"/>
          </w:tcPr>
          <w:p w:rsidR="008B3F17" w:rsidRPr="00A01FE6" w:rsidRDefault="008B3F17" w:rsidP="005C067C">
            <w:pPr>
              <w:jc w:val="center"/>
              <w:rPr>
                <w:sz w:val="20"/>
                <w:szCs w:val="20"/>
              </w:rPr>
            </w:pPr>
            <w:r w:rsidRPr="00A01FE6">
              <w:rPr>
                <w:sz w:val="20"/>
                <w:szCs w:val="20"/>
              </w:rPr>
              <w:t>.217 (.</w:t>
            </w:r>
            <w:r w:rsidRPr="00A01FE6">
              <w:rPr>
                <w:iCs/>
                <w:sz w:val="20"/>
                <w:szCs w:val="20"/>
              </w:rPr>
              <w:t>213</w:t>
            </w:r>
            <w:r w:rsidRPr="00A01FE6">
              <w:rPr>
                <w:sz w:val="20"/>
                <w:szCs w:val="20"/>
              </w:rPr>
              <w:t>)</w:t>
            </w:r>
          </w:p>
        </w:tc>
      </w:tr>
      <w:tr w:rsidR="008B3F17" w:rsidRPr="00A01FE6">
        <w:tc>
          <w:tcPr>
            <w:tcW w:w="2640" w:type="dxa"/>
          </w:tcPr>
          <w:p w:rsidR="008B3F17" w:rsidRPr="00A01FE6" w:rsidRDefault="008B3F17" w:rsidP="005C067C">
            <w:pPr>
              <w:rPr>
                <w:sz w:val="20"/>
                <w:szCs w:val="20"/>
              </w:rPr>
            </w:pPr>
            <w:r w:rsidRPr="00A01FE6">
              <w:rPr>
                <w:sz w:val="20"/>
                <w:szCs w:val="20"/>
              </w:rPr>
              <w:t>CAT Signatory</w:t>
            </w:r>
          </w:p>
        </w:tc>
        <w:tc>
          <w:tcPr>
            <w:tcW w:w="1714" w:type="dxa"/>
          </w:tcPr>
          <w:p w:rsidR="008B3F17" w:rsidRPr="00A01FE6" w:rsidRDefault="008B3F17" w:rsidP="005C067C">
            <w:pPr>
              <w:jc w:val="center"/>
              <w:rPr>
                <w:sz w:val="20"/>
                <w:szCs w:val="20"/>
              </w:rPr>
            </w:pPr>
            <w:r w:rsidRPr="00A01FE6">
              <w:rPr>
                <w:sz w:val="20"/>
                <w:szCs w:val="20"/>
              </w:rPr>
              <w:t>.470 (.</w:t>
            </w:r>
            <w:r w:rsidRPr="00A01FE6">
              <w:rPr>
                <w:iCs/>
                <w:sz w:val="20"/>
                <w:szCs w:val="20"/>
              </w:rPr>
              <w:t>250</w:t>
            </w:r>
            <w:r w:rsidRPr="00A01FE6">
              <w:rPr>
                <w:sz w:val="20"/>
                <w:szCs w:val="20"/>
              </w:rPr>
              <w:t>)*</w:t>
            </w:r>
          </w:p>
        </w:tc>
        <w:tc>
          <w:tcPr>
            <w:tcW w:w="1609" w:type="dxa"/>
          </w:tcPr>
          <w:p w:rsidR="008B3F17" w:rsidRPr="00A01FE6" w:rsidRDefault="008B3F17" w:rsidP="005C067C">
            <w:pPr>
              <w:jc w:val="center"/>
              <w:rPr>
                <w:sz w:val="20"/>
                <w:szCs w:val="20"/>
              </w:rPr>
            </w:pPr>
            <w:r w:rsidRPr="00A01FE6">
              <w:rPr>
                <w:sz w:val="20"/>
                <w:szCs w:val="20"/>
              </w:rPr>
              <w:t>.460 (.</w:t>
            </w:r>
            <w:r w:rsidRPr="00A01FE6">
              <w:rPr>
                <w:iCs/>
                <w:sz w:val="20"/>
                <w:szCs w:val="20"/>
              </w:rPr>
              <w:t>249</w:t>
            </w:r>
            <w:r w:rsidRPr="00A01FE6">
              <w:rPr>
                <w:sz w:val="20"/>
                <w:szCs w:val="20"/>
              </w:rPr>
              <w:t>)*</w:t>
            </w:r>
          </w:p>
        </w:tc>
        <w:tc>
          <w:tcPr>
            <w:tcW w:w="1520" w:type="dxa"/>
          </w:tcPr>
          <w:p w:rsidR="008B3F17" w:rsidRPr="00A01FE6" w:rsidRDefault="008B3F17" w:rsidP="001D391C">
            <w:pPr>
              <w:jc w:val="center"/>
              <w:rPr>
                <w:sz w:val="20"/>
                <w:szCs w:val="20"/>
              </w:rPr>
            </w:pPr>
            <w:r>
              <w:rPr>
                <w:sz w:val="20"/>
                <w:szCs w:val="20"/>
              </w:rPr>
              <w:t>.</w:t>
            </w:r>
            <w:r w:rsidR="001D391C">
              <w:rPr>
                <w:sz w:val="20"/>
                <w:szCs w:val="20"/>
              </w:rPr>
              <w:t>457</w:t>
            </w:r>
            <w:r>
              <w:rPr>
                <w:sz w:val="20"/>
                <w:szCs w:val="20"/>
              </w:rPr>
              <w:t xml:space="preserve"> (.</w:t>
            </w:r>
            <w:r w:rsidR="001D391C">
              <w:rPr>
                <w:sz w:val="20"/>
                <w:szCs w:val="20"/>
              </w:rPr>
              <w:t>250</w:t>
            </w:r>
            <w:r>
              <w:rPr>
                <w:sz w:val="20"/>
                <w:szCs w:val="20"/>
              </w:rPr>
              <w:t>)</w:t>
            </w:r>
            <w:r w:rsidR="001D391C">
              <w:rPr>
                <w:sz w:val="20"/>
                <w:szCs w:val="20"/>
              </w:rPr>
              <w:t>*</w:t>
            </w:r>
          </w:p>
        </w:tc>
        <w:tc>
          <w:tcPr>
            <w:tcW w:w="1609" w:type="dxa"/>
          </w:tcPr>
          <w:p w:rsidR="008B3F17" w:rsidRPr="00A01FE6" w:rsidRDefault="008B3F17" w:rsidP="005C067C">
            <w:pPr>
              <w:jc w:val="center"/>
              <w:rPr>
                <w:sz w:val="20"/>
                <w:szCs w:val="20"/>
              </w:rPr>
            </w:pPr>
            <w:r w:rsidRPr="00A01FE6">
              <w:rPr>
                <w:sz w:val="20"/>
                <w:szCs w:val="20"/>
              </w:rPr>
              <w:t>.455 (.</w:t>
            </w:r>
            <w:r w:rsidRPr="00A01FE6">
              <w:rPr>
                <w:iCs/>
                <w:sz w:val="20"/>
                <w:szCs w:val="20"/>
              </w:rPr>
              <w:t>251</w:t>
            </w:r>
            <w:r w:rsidRPr="00A01FE6">
              <w:rPr>
                <w:sz w:val="20"/>
                <w:szCs w:val="20"/>
              </w:rPr>
              <w:t>)*</w:t>
            </w:r>
          </w:p>
        </w:tc>
      </w:tr>
      <w:tr w:rsidR="008B3F17" w:rsidRPr="00A01FE6">
        <w:tc>
          <w:tcPr>
            <w:tcW w:w="2640" w:type="dxa"/>
          </w:tcPr>
          <w:p w:rsidR="008B3F17" w:rsidRPr="00A01FE6" w:rsidRDefault="008B3F17" w:rsidP="005C067C">
            <w:pPr>
              <w:rPr>
                <w:sz w:val="20"/>
                <w:szCs w:val="20"/>
              </w:rPr>
            </w:pPr>
            <w:r w:rsidRPr="00A01FE6">
              <w:rPr>
                <w:sz w:val="20"/>
                <w:szCs w:val="20"/>
              </w:rPr>
              <w:t>Domestic Dissent</w:t>
            </w:r>
          </w:p>
        </w:tc>
        <w:tc>
          <w:tcPr>
            <w:tcW w:w="1714" w:type="dxa"/>
          </w:tcPr>
          <w:p w:rsidR="008B3F17" w:rsidRPr="00A01FE6" w:rsidRDefault="008B3F17" w:rsidP="005C067C">
            <w:pPr>
              <w:jc w:val="center"/>
              <w:rPr>
                <w:sz w:val="20"/>
                <w:szCs w:val="20"/>
              </w:rPr>
            </w:pPr>
            <w:r w:rsidRPr="00A01FE6">
              <w:rPr>
                <w:sz w:val="20"/>
                <w:szCs w:val="20"/>
              </w:rPr>
              <w:t>.821 (.169)***</w:t>
            </w:r>
          </w:p>
        </w:tc>
        <w:tc>
          <w:tcPr>
            <w:tcW w:w="1609" w:type="dxa"/>
          </w:tcPr>
          <w:p w:rsidR="008B3F17" w:rsidRPr="00A01FE6" w:rsidRDefault="008B3F17" w:rsidP="005C067C">
            <w:pPr>
              <w:jc w:val="center"/>
              <w:rPr>
                <w:sz w:val="20"/>
                <w:szCs w:val="20"/>
              </w:rPr>
            </w:pPr>
            <w:r w:rsidRPr="00A01FE6">
              <w:rPr>
                <w:sz w:val="20"/>
                <w:szCs w:val="20"/>
              </w:rPr>
              <w:t>.835 (.</w:t>
            </w:r>
            <w:r w:rsidRPr="00A01FE6">
              <w:rPr>
                <w:iCs/>
                <w:sz w:val="20"/>
                <w:szCs w:val="20"/>
              </w:rPr>
              <w:t>172</w:t>
            </w:r>
            <w:r w:rsidRPr="00A01FE6">
              <w:rPr>
                <w:sz w:val="20"/>
                <w:szCs w:val="20"/>
              </w:rPr>
              <w:t>)***</w:t>
            </w:r>
          </w:p>
        </w:tc>
        <w:tc>
          <w:tcPr>
            <w:tcW w:w="1520" w:type="dxa"/>
          </w:tcPr>
          <w:p w:rsidR="008B3F17" w:rsidRPr="00A01FE6" w:rsidRDefault="008B3F17" w:rsidP="001D391C">
            <w:pPr>
              <w:jc w:val="center"/>
              <w:rPr>
                <w:sz w:val="20"/>
                <w:szCs w:val="20"/>
              </w:rPr>
            </w:pPr>
            <w:r>
              <w:rPr>
                <w:sz w:val="20"/>
                <w:szCs w:val="20"/>
              </w:rPr>
              <w:t>.</w:t>
            </w:r>
            <w:r w:rsidR="001D391C">
              <w:rPr>
                <w:sz w:val="20"/>
                <w:szCs w:val="20"/>
              </w:rPr>
              <w:t>814</w:t>
            </w:r>
            <w:r>
              <w:rPr>
                <w:sz w:val="20"/>
                <w:szCs w:val="20"/>
              </w:rPr>
              <w:t xml:space="preserve"> (.</w:t>
            </w:r>
            <w:r w:rsidR="001D391C">
              <w:rPr>
                <w:sz w:val="20"/>
                <w:szCs w:val="20"/>
              </w:rPr>
              <w:t>168</w:t>
            </w:r>
            <w:r>
              <w:rPr>
                <w:sz w:val="20"/>
                <w:szCs w:val="20"/>
              </w:rPr>
              <w:t>)***</w:t>
            </w:r>
          </w:p>
        </w:tc>
        <w:tc>
          <w:tcPr>
            <w:tcW w:w="1609" w:type="dxa"/>
          </w:tcPr>
          <w:p w:rsidR="008B3F17" w:rsidRPr="00A01FE6" w:rsidRDefault="008B3F17" w:rsidP="005C067C">
            <w:pPr>
              <w:jc w:val="center"/>
              <w:rPr>
                <w:sz w:val="20"/>
                <w:szCs w:val="20"/>
              </w:rPr>
            </w:pPr>
            <w:r w:rsidRPr="00A01FE6">
              <w:rPr>
                <w:sz w:val="20"/>
                <w:szCs w:val="20"/>
              </w:rPr>
              <w:t>.812 (.</w:t>
            </w:r>
            <w:r w:rsidRPr="00A01FE6">
              <w:rPr>
                <w:iCs/>
                <w:sz w:val="20"/>
                <w:szCs w:val="20"/>
              </w:rPr>
              <w:t>169</w:t>
            </w:r>
            <w:r w:rsidRPr="00A01FE6">
              <w:rPr>
                <w:sz w:val="20"/>
                <w:szCs w:val="20"/>
              </w:rPr>
              <w:t>)***</w:t>
            </w:r>
          </w:p>
        </w:tc>
      </w:tr>
      <w:tr w:rsidR="008B3F17" w:rsidRPr="00A01FE6">
        <w:tc>
          <w:tcPr>
            <w:tcW w:w="2640" w:type="dxa"/>
          </w:tcPr>
          <w:p w:rsidR="008B3F17" w:rsidRPr="00A01FE6" w:rsidRDefault="008B3F17" w:rsidP="005C067C">
            <w:pPr>
              <w:rPr>
                <w:sz w:val="20"/>
                <w:szCs w:val="20"/>
              </w:rPr>
            </w:pPr>
          </w:p>
        </w:tc>
        <w:tc>
          <w:tcPr>
            <w:tcW w:w="1714" w:type="dxa"/>
          </w:tcPr>
          <w:p w:rsidR="008B3F17" w:rsidRPr="00A01FE6" w:rsidRDefault="008B3F17" w:rsidP="005C067C">
            <w:pPr>
              <w:jc w:val="center"/>
              <w:rPr>
                <w:sz w:val="20"/>
                <w:szCs w:val="20"/>
              </w:rPr>
            </w:pPr>
          </w:p>
        </w:tc>
        <w:tc>
          <w:tcPr>
            <w:tcW w:w="1609" w:type="dxa"/>
          </w:tcPr>
          <w:p w:rsidR="008B3F17" w:rsidRPr="00A01FE6" w:rsidRDefault="008B3F17" w:rsidP="005C067C">
            <w:pPr>
              <w:rPr>
                <w:sz w:val="20"/>
                <w:szCs w:val="20"/>
              </w:rPr>
            </w:pPr>
          </w:p>
        </w:tc>
        <w:tc>
          <w:tcPr>
            <w:tcW w:w="1520" w:type="dxa"/>
          </w:tcPr>
          <w:p w:rsidR="008B3F17" w:rsidRPr="00A01FE6" w:rsidRDefault="008B3F17" w:rsidP="005C067C">
            <w:pPr>
              <w:rPr>
                <w:sz w:val="20"/>
                <w:szCs w:val="20"/>
              </w:rPr>
            </w:pPr>
          </w:p>
        </w:tc>
        <w:tc>
          <w:tcPr>
            <w:tcW w:w="1609" w:type="dxa"/>
          </w:tcPr>
          <w:p w:rsidR="008B3F17" w:rsidRPr="00A01FE6" w:rsidRDefault="008B3F17" w:rsidP="005C067C">
            <w:pPr>
              <w:rPr>
                <w:sz w:val="20"/>
                <w:szCs w:val="20"/>
              </w:rPr>
            </w:pPr>
          </w:p>
        </w:tc>
      </w:tr>
      <w:tr w:rsidR="008B3F17" w:rsidRPr="00A01FE6">
        <w:tc>
          <w:tcPr>
            <w:tcW w:w="2640" w:type="dxa"/>
          </w:tcPr>
          <w:p w:rsidR="008B3F17" w:rsidRPr="00A01FE6" w:rsidRDefault="008B3F17" w:rsidP="005C067C">
            <w:pPr>
              <w:rPr>
                <w:sz w:val="20"/>
                <w:szCs w:val="20"/>
              </w:rPr>
            </w:pPr>
            <w:r w:rsidRPr="00A01FE6">
              <w:rPr>
                <w:sz w:val="20"/>
                <w:szCs w:val="20"/>
              </w:rPr>
              <w:t>Observations</w:t>
            </w:r>
          </w:p>
        </w:tc>
        <w:tc>
          <w:tcPr>
            <w:tcW w:w="1714" w:type="dxa"/>
          </w:tcPr>
          <w:p w:rsidR="008B3F17" w:rsidRPr="00A01FE6" w:rsidRDefault="008B3F17" w:rsidP="005C067C">
            <w:pPr>
              <w:jc w:val="center"/>
              <w:rPr>
                <w:sz w:val="20"/>
                <w:szCs w:val="20"/>
              </w:rPr>
            </w:pPr>
            <w:r w:rsidRPr="00A01FE6">
              <w:rPr>
                <w:sz w:val="20"/>
                <w:szCs w:val="20"/>
              </w:rPr>
              <w:t>1,310</w:t>
            </w:r>
          </w:p>
        </w:tc>
        <w:tc>
          <w:tcPr>
            <w:tcW w:w="1609" w:type="dxa"/>
          </w:tcPr>
          <w:p w:rsidR="008B3F17" w:rsidRPr="00A01FE6" w:rsidRDefault="008B3F17" w:rsidP="005C067C">
            <w:pPr>
              <w:jc w:val="center"/>
              <w:rPr>
                <w:sz w:val="20"/>
                <w:szCs w:val="20"/>
              </w:rPr>
            </w:pPr>
            <w:r w:rsidRPr="00A01FE6">
              <w:rPr>
                <w:sz w:val="20"/>
                <w:szCs w:val="20"/>
              </w:rPr>
              <w:t>1,307</w:t>
            </w:r>
          </w:p>
        </w:tc>
        <w:tc>
          <w:tcPr>
            <w:tcW w:w="1520" w:type="dxa"/>
          </w:tcPr>
          <w:p w:rsidR="008B3F17" w:rsidRPr="00A01FE6" w:rsidRDefault="001D391C" w:rsidP="005C067C">
            <w:pPr>
              <w:jc w:val="center"/>
              <w:rPr>
                <w:sz w:val="20"/>
                <w:szCs w:val="20"/>
              </w:rPr>
            </w:pPr>
            <w:r>
              <w:rPr>
                <w:sz w:val="20"/>
                <w:szCs w:val="20"/>
              </w:rPr>
              <w:t>1,307</w:t>
            </w:r>
          </w:p>
        </w:tc>
        <w:tc>
          <w:tcPr>
            <w:tcW w:w="1609" w:type="dxa"/>
          </w:tcPr>
          <w:p w:rsidR="008B3F17" w:rsidRPr="00A01FE6" w:rsidRDefault="008B3F17" w:rsidP="005C067C">
            <w:pPr>
              <w:jc w:val="center"/>
              <w:rPr>
                <w:sz w:val="20"/>
                <w:szCs w:val="20"/>
              </w:rPr>
            </w:pPr>
            <w:r w:rsidRPr="00A01FE6">
              <w:rPr>
                <w:sz w:val="20"/>
                <w:szCs w:val="20"/>
              </w:rPr>
              <w:t>1,308</w:t>
            </w:r>
          </w:p>
        </w:tc>
      </w:tr>
      <w:tr w:rsidR="008B3F17" w:rsidRPr="00A01FE6">
        <w:tc>
          <w:tcPr>
            <w:tcW w:w="2640" w:type="dxa"/>
          </w:tcPr>
          <w:p w:rsidR="008B3F17" w:rsidRPr="00A01FE6" w:rsidRDefault="008B3F17" w:rsidP="005C067C">
            <w:pPr>
              <w:rPr>
                <w:sz w:val="20"/>
                <w:szCs w:val="20"/>
              </w:rPr>
            </w:pPr>
            <w:r w:rsidRPr="00A01FE6">
              <w:rPr>
                <w:sz w:val="20"/>
                <w:szCs w:val="20"/>
              </w:rPr>
              <w:t>Wald χ</w:t>
            </w:r>
            <w:r w:rsidRPr="00A01FE6">
              <w:rPr>
                <w:sz w:val="20"/>
                <w:szCs w:val="20"/>
                <w:vertAlign w:val="superscript"/>
              </w:rPr>
              <w:t>2</w:t>
            </w:r>
          </w:p>
        </w:tc>
        <w:tc>
          <w:tcPr>
            <w:tcW w:w="1714" w:type="dxa"/>
          </w:tcPr>
          <w:p w:rsidR="008B3F17" w:rsidRPr="00A01FE6" w:rsidRDefault="008B3F17" w:rsidP="005C067C">
            <w:pPr>
              <w:jc w:val="center"/>
              <w:rPr>
                <w:sz w:val="20"/>
                <w:szCs w:val="20"/>
              </w:rPr>
            </w:pPr>
            <w:r w:rsidRPr="00A01FE6">
              <w:rPr>
                <w:sz w:val="20"/>
                <w:szCs w:val="20"/>
              </w:rPr>
              <w:t>189.40***</w:t>
            </w:r>
          </w:p>
        </w:tc>
        <w:tc>
          <w:tcPr>
            <w:tcW w:w="1609" w:type="dxa"/>
          </w:tcPr>
          <w:p w:rsidR="008B3F17" w:rsidRPr="00A01FE6" w:rsidRDefault="008B3F17" w:rsidP="005C067C">
            <w:pPr>
              <w:jc w:val="center"/>
              <w:rPr>
                <w:sz w:val="20"/>
                <w:szCs w:val="20"/>
              </w:rPr>
            </w:pPr>
            <w:r w:rsidRPr="00A01FE6">
              <w:rPr>
                <w:sz w:val="20"/>
                <w:szCs w:val="20"/>
              </w:rPr>
              <w:t>188.88***</w:t>
            </w:r>
          </w:p>
        </w:tc>
        <w:tc>
          <w:tcPr>
            <w:tcW w:w="1520" w:type="dxa"/>
          </w:tcPr>
          <w:p w:rsidR="008B3F17" w:rsidRPr="00A01FE6" w:rsidRDefault="001D391C" w:rsidP="005C067C">
            <w:pPr>
              <w:jc w:val="center"/>
              <w:rPr>
                <w:sz w:val="20"/>
                <w:szCs w:val="20"/>
              </w:rPr>
            </w:pPr>
            <w:r>
              <w:rPr>
                <w:sz w:val="20"/>
                <w:szCs w:val="20"/>
              </w:rPr>
              <w:t>190.37</w:t>
            </w:r>
            <w:r w:rsidR="008B3F17">
              <w:rPr>
                <w:sz w:val="20"/>
                <w:szCs w:val="20"/>
              </w:rPr>
              <w:t>***</w:t>
            </w:r>
          </w:p>
        </w:tc>
        <w:tc>
          <w:tcPr>
            <w:tcW w:w="1609" w:type="dxa"/>
          </w:tcPr>
          <w:p w:rsidR="008B3F17" w:rsidRPr="00A01FE6" w:rsidRDefault="008B3F17" w:rsidP="005C067C">
            <w:pPr>
              <w:jc w:val="center"/>
              <w:rPr>
                <w:sz w:val="20"/>
                <w:szCs w:val="20"/>
              </w:rPr>
            </w:pPr>
            <w:r w:rsidRPr="00A01FE6">
              <w:rPr>
                <w:sz w:val="20"/>
                <w:szCs w:val="20"/>
              </w:rPr>
              <w:t>184.88***</w:t>
            </w:r>
          </w:p>
        </w:tc>
      </w:tr>
      <w:tr w:rsidR="008B3F17" w:rsidRPr="00A01FE6">
        <w:tc>
          <w:tcPr>
            <w:tcW w:w="2640" w:type="dxa"/>
          </w:tcPr>
          <w:p w:rsidR="008B3F17" w:rsidRPr="00A01FE6" w:rsidRDefault="008B3F17" w:rsidP="005C067C">
            <w:pPr>
              <w:rPr>
                <w:sz w:val="20"/>
                <w:szCs w:val="20"/>
              </w:rPr>
            </w:pPr>
            <w:r w:rsidRPr="00A01FE6">
              <w:rPr>
                <w:sz w:val="20"/>
                <w:szCs w:val="20"/>
              </w:rPr>
              <w:t>Pseudo R</w:t>
            </w:r>
            <w:r w:rsidRPr="00A01FE6">
              <w:rPr>
                <w:sz w:val="20"/>
                <w:szCs w:val="20"/>
                <w:vertAlign w:val="superscript"/>
              </w:rPr>
              <w:t>2</w:t>
            </w:r>
          </w:p>
        </w:tc>
        <w:tc>
          <w:tcPr>
            <w:tcW w:w="1714" w:type="dxa"/>
          </w:tcPr>
          <w:p w:rsidR="008B3F17" w:rsidRPr="00A01FE6" w:rsidRDefault="008B3F17" w:rsidP="005C067C">
            <w:pPr>
              <w:jc w:val="center"/>
              <w:rPr>
                <w:sz w:val="20"/>
                <w:szCs w:val="20"/>
              </w:rPr>
            </w:pPr>
            <w:r w:rsidRPr="00A01FE6">
              <w:rPr>
                <w:sz w:val="20"/>
                <w:szCs w:val="20"/>
              </w:rPr>
              <w:t>.239</w:t>
            </w:r>
          </w:p>
        </w:tc>
        <w:tc>
          <w:tcPr>
            <w:tcW w:w="1609" w:type="dxa"/>
          </w:tcPr>
          <w:p w:rsidR="008B3F17" w:rsidRPr="00A01FE6" w:rsidRDefault="008B3F17" w:rsidP="005C067C">
            <w:pPr>
              <w:jc w:val="center"/>
              <w:rPr>
                <w:sz w:val="20"/>
                <w:szCs w:val="20"/>
              </w:rPr>
            </w:pPr>
            <w:r w:rsidRPr="00A01FE6">
              <w:rPr>
                <w:sz w:val="20"/>
                <w:szCs w:val="20"/>
              </w:rPr>
              <w:t>.239</w:t>
            </w:r>
          </w:p>
        </w:tc>
        <w:tc>
          <w:tcPr>
            <w:tcW w:w="1520" w:type="dxa"/>
          </w:tcPr>
          <w:p w:rsidR="008B3F17" w:rsidRPr="00A01FE6" w:rsidRDefault="008B3F17" w:rsidP="001D391C">
            <w:pPr>
              <w:jc w:val="center"/>
              <w:rPr>
                <w:sz w:val="20"/>
                <w:szCs w:val="20"/>
              </w:rPr>
            </w:pPr>
            <w:r>
              <w:rPr>
                <w:sz w:val="20"/>
                <w:szCs w:val="20"/>
              </w:rPr>
              <w:t>.</w:t>
            </w:r>
            <w:r w:rsidR="001D391C">
              <w:rPr>
                <w:sz w:val="20"/>
                <w:szCs w:val="20"/>
              </w:rPr>
              <w:t>240</w:t>
            </w:r>
          </w:p>
        </w:tc>
        <w:tc>
          <w:tcPr>
            <w:tcW w:w="1609" w:type="dxa"/>
          </w:tcPr>
          <w:p w:rsidR="008B3F17" w:rsidRPr="00A01FE6" w:rsidRDefault="008B3F17" w:rsidP="005C067C">
            <w:pPr>
              <w:jc w:val="center"/>
              <w:rPr>
                <w:sz w:val="20"/>
                <w:szCs w:val="20"/>
              </w:rPr>
            </w:pPr>
            <w:r w:rsidRPr="00A01FE6">
              <w:rPr>
                <w:sz w:val="20"/>
                <w:szCs w:val="20"/>
              </w:rPr>
              <w:t>.240</w:t>
            </w:r>
          </w:p>
        </w:tc>
      </w:tr>
      <w:tr w:rsidR="008B3F17" w:rsidRPr="00A01FE6">
        <w:tc>
          <w:tcPr>
            <w:tcW w:w="2640" w:type="dxa"/>
          </w:tcPr>
          <w:p w:rsidR="008B3F17" w:rsidRPr="00A01FE6" w:rsidRDefault="008B3F17" w:rsidP="005C067C">
            <w:pPr>
              <w:rPr>
                <w:sz w:val="20"/>
                <w:szCs w:val="20"/>
              </w:rPr>
            </w:pPr>
          </w:p>
        </w:tc>
        <w:tc>
          <w:tcPr>
            <w:tcW w:w="1714" w:type="dxa"/>
          </w:tcPr>
          <w:p w:rsidR="008B3F17" w:rsidRPr="00A01FE6" w:rsidRDefault="008B3F17" w:rsidP="005C067C">
            <w:pPr>
              <w:jc w:val="center"/>
              <w:rPr>
                <w:sz w:val="20"/>
                <w:szCs w:val="20"/>
              </w:rPr>
            </w:pPr>
          </w:p>
        </w:tc>
        <w:tc>
          <w:tcPr>
            <w:tcW w:w="1609" w:type="dxa"/>
          </w:tcPr>
          <w:p w:rsidR="008B3F17" w:rsidRPr="00A01FE6" w:rsidRDefault="008B3F17" w:rsidP="005C067C">
            <w:pPr>
              <w:jc w:val="center"/>
              <w:rPr>
                <w:sz w:val="20"/>
                <w:szCs w:val="20"/>
              </w:rPr>
            </w:pPr>
          </w:p>
        </w:tc>
        <w:tc>
          <w:tcPr>
            <w:tcW w:w="1520" w:type="dxa"/>
          </w:tcPr>
          <w:p w:rsidR="008B3F17" w:rsidRPr="00A01FE6" w:rsidRDefault="008B3F17" w:rsidP="005C067C">
            <w:pPr>
              <w:jc w:val="center"/>
              <w:rPr>
                <w:sz w:val="20"/>
                <w:szCs w:val="20"/>
              </w:rPr>
            </w:pPr>
          </w:p>
        </w:tc>
        <w:tc>
          <w:tcPr>
            <w:tcW w:w="1609" w:type="dxa"/>
          </w:tcPr>
          <w:p w:rsidR="008B3F17" w:rsidRPr="00A01FE6" w:rsidRDefault="008B3F17" w:rsidP="005C067C">
            <w:pPr>
              <w:jc w:val="center"/>
              <w:rPr>
                <w:sz w:val="20"/>
                <w:szCs w:val="20"/>
              </w:rPr>
            </w:pPr>
          </w:p>
        </w:tc>
      </w:tr>
      <w:tr w:rsidR="008B3F17" w:rsidRPr="00A01FE6">
        <w:tc>
          <w:tcPr>
            <w:tcW w:w="2640" w:type="dxa"/>
          </w:tcPr>
          <w:p w:rsidR="008B3F17" w:rsidRPr="00A01FE6" w:rsidRDefault="008B3F17" w:rsidP="005C067C">
            <w:pPr>
              <w:rPr>
                <w:sz w:val="20"/>
                <w:szCs w:val="20"/>
              </w:rPr>
            </w:pPr>
            <w:proofErr w:type="gramStart"/>
            <w:r w:rsidRPr="00A01FE6">
              <w:rPr>
                <w:sz w:val="20"/>
                <w:szCs w:val="20"/>
              </w:rPr>
              <w:t>cut</w:t>
            </w:r>
            <w:proofErr w:type="gramEnd"/>
            <w:r w:rsidRPr="00A01FE6">
              <w:rPr>
                <w:sz w:val="20"/>
                <w:szCs w:val="20"/>
              </w:rPr>
              <w:t xml:space="preserve"> 1</w:t>
            </w:r>
          </w:p>
        </w:tc>
        <w:tc>
          <w:tcPr>
            <w:tcW w:w="1714" w:type="dxa"/>
          </w:tcPr>
          <w:p w:rsidR="008B3F17" w:rsidRPr="00A01FE6" w:rsidRDefault="008B3F17" w:rsidP="005C067C">
            <w:pPr>
              <w:jc w:val="center"/>
              <w:rPr>
                <w:sz w:val="20"/>
                <w:szCs w:val="20"/>
              </w:rPr>
            </w:pPr>
            <w:r w:rsidRPr="00A01FE6">
              <w:rPr>
                <w:sz w:val="20"/>
                <w:szCs w:val="20"/>
              </w:rPr>
              <w:t>-2.885 (.</w:t>
            </w:r>
            <w:r w:rsidRPr="00A01FE6">
              <w:rPr>
                <w:iCs/>
                <w:sz w:val="20"/>
                <w:szCs w:val="20"/>
              </w:rPr>
              <w:t>325</w:t>
            </w:r>
            <w:r w:rsidRPr="00A01FE6">
              <w:rPr>
                <w:sz w:val="20"/>
                <w:szCs w:val="20"/>
              </w:rPr>
              <w:t>)</w:t>
            </w:r>
          </w:p>
        </w:tc>
        <w:tc>
          <w:tcPr>
            <w:tcW w:w="1609" w:type="dxa"/>
          </w:tcPr>
          <w:p w:rsidR="008B3F17" w:rsidRPr="00A01FE6" w:rsidRDefault="008B3F17" w:rsidP="005C067C">
            <w:pPr>
              <w:jc w:val="center"/>
              <w:rPr>
                <w:sz w:val="20"/>
                <w:szCs w:val="20"/>
              </w:rPr>
            </w:pPr>
            <w:r w:rsidRPr="00A01FE6">
              <w:rPr>
                <w:sz w:val="20"/>
                <w:szCs w:val="20"/>
              </w:rPr>
              <w:t>-2.877 (.</w:t>
            </w:r>
            <w:r w:rsidRPr="00A01FE6">
              <w:rPr>
                <w:iCs/>
                <w:sz w:val="20"/>
                <w:szCs w:val="20"/>
              </w:rPr>
              <w:t>326</w:t>
            </w:r>
            <w:r w:rsidRPr="00A01FE6">
              <w:rPr>
                <w:sz w:val="20"/>
                <w:szCs w:val="20"/>
              </w:rPr>
              <w:t>)</w:t>
            </w:r>
          </w:p>
        </w:tc>
        <w:tc>
          <w:tcPr>
            <w:tcW w:w="1520" w:type="dxa"/>
          </w:tcPr>
          <w:p w:rsidR="008B3F17" w:rsidRPr="00A01FE6" w:rsidRDefault="008B3F17" w:rsidP="001D391C">
            <w:pPr>
              <w:jc w:val="center"/>
              <w:rPr>
                <w:sz w:val="20"/>
                <w:szCs w:val="20"/>
              </w:rPr>
            </w:pPr>
            <w:r>
              <w:rPr>
                <w:sz w:val="20"/>
                <w:szCs w:val="20"/>
              </w:rPr>
              <w:t>-</w:t>
            </w:r>
            <w:r w:rsidR="001D391C">
              <w:rPr>
                <w:sz w:val="20"/>
                <w:szCs w:val="20"/>
              </w:rPr>
              <w:t>2.882</w:t>
            </w:r>
            <w:r>
              <w:rPr>
                <w:sz w:val="20"/>
                <w:szCs w:val="20"/>
              </w:rPr>
              <w:t xml:space="preserve"> (.</w:t>
            </w:r>
            <w:r w:rsidR="001D391C">
              <w:rPr>
                <w:sz w:val="20"/>
                <w:szCs w:val="20"/>
              </w:rPr>
              <w:t>324</w:t>
            </w:r>
            <w:r>
              <w:rPr>
                <w:sz w:val="20"/>
                <w:szCs w:val="20"/>
              </w:rPr>
              <w:t>)</w:t>
            </w:r>
          </w:p>
        </w:tc>
        <w:tc>
          <w:tcPr>
            <w:tcW w:w="1609" w:type="dxa"/>
          </w:tcPr>
          <w:p w:rsidR="008B3F17" w:rsidRPr="00A01FE6" w:rsidRDefault="008B3F17" w:rsidP="005C067C">
            <w:pPr>
              <w:jc w:val="center"/>
              <w:rPr>
                <w:sz w:val="20"/>
                <w:szCs w:val="20"/>
              </w:rPr>
            </w:pPr>
            <w:r w:rsidRPr="00A01FE6">
              <w:rPr>
                <w:sz w:val="20"/>
                <w:szCs w:val="20"/>
              </w:rPr>
              <w:t>-2.898 (.</w:t>
            </w:r>
            <w:r w:rsidRPr="00A01FE6">
              <w:rPr>
                <w:iCs/>
                <w:sz w:val="20"/>
                <w:szCs w:val="20"/>
              </w:rPr>
              <w:t>327</w:t>
            </w:r>
            <w:r w:rsidRPr="00A01FE6">
              <w:rPr>
                <w:sz w:val="20"/>
                <w:szCs w:val="20"/>
              </w:rPr>
              <w:t>)</w:t>
            </w:r>
          </w:p>
        </w:tc>
      </w:tr>
      <w:tr w:rsidR="008B3F17" w:rsidRPr="00A01FE6">
        <w:tc>
          <w:tcPr>
            <w:tcW w:w="2640" w:type="dxa"/>
          </w:tcPr>
          <w:p w:rsidR="008B3F17" w:rsidRPr="00A01FE6" w:rsidRDefault="008B3F17" w:rsidP="005C067C">
            <w:pPr>
              <w:rPr>
                <w:sz w:val="20"/>
                <w:szCs w:val="20"/>
              </w:rPr>
            </w:pPr>
            <w:proofErr w:type="gramStart"/>
            <w:r w:rsidRPr="00A01FE6">
              <w:rPr>
                <w:sz w:val="20"/>
                <w:szCs w:val="20"/>
              </w:rPr>
              <w:t>cut</w:t>
            </w:r>
            <w:proofErr w:type="gramEnd"/>
            <w:r w:rsidRPr="00A01FE6">
              <w:rPr>
                <w:sz w:val="20"/>
                <w:szCs w:val="20"/>
              </w:rPr>
              <w:t xml:space="preserve"> 2</w:t>
            </w:r>
          </w:p>
        </w:tc>
        <w:tc>
          <w:tcPr>
            <w:tcW w:w="1714" w:type="dxa"/>
          </w:tcPr>
          <w:p w:rsidR="008B3F17" w:rsidRPr="00A01FE6" w:rsidRDefault="008B3F17" w:rsidP="005C067C">
            <w:pPr>
              <w:jc w:val="center"/>
              <w:rPr>
                <w:sz w:val="20"/>
                <w:szCs w:val="20"/>
              </w:rPr>
            </w:pPr>
            <w:r w:rsidRPr="00A01FE6">
              <w:rPr>
                <w:sz w:val="20"/>
                <w:szCs w:val="20"/>
              </w:rPr>
              <w:t>.433(.242)</w:t>
            </w:r>
          </w:p>
        </w:tc>
        <w:tc>
          <w:tcPr>
            <w:tcW w:w="1609" w:type="dxa"/>
          </w:tcPr>
          <w:p w:rsidR="008B3F17" w:rsidRPr="00A01FE6" w:rsidRDefault="008B3F17" w:rsidP="005C067C">
            <w:pPr>
              <w:jc w:val="center"/>
              <w:rPr>
                <w:sz w:val="20"/>
                <w:szCs w:val="20"/>
              </w:rPr>
            </w:pPr>
            <w:r w:rsidRPr="00A01FE6">
              <w:rPr>
                <w:sz w:val="20"/>
                <w:szCs w:val="20"/>
              </w:rPr>
              <w:t>.443(.242)</w:t>
            </w:r>
          </w:p>
        </w:tc>
        <w:tc>
          <w:tcPr>
            <w:tcW w:w="1520" w:type="dxa"/>
          </w:tcPr>
          <w:p w:rsidR="008B3F17" w:rsidRPr="00A01FE6" w:rsidRDefault="008B3F17" w:rsidP="001D391C">
            <w:pPr>
              <w:jc w:val="center"/>
              <w:rPr>
                <w:sz w:val="20"/>
                <w:szCs w:val="20"/>
              </w:rPr>
            </w:pPr>
            <w:r>
              <w:rPr>
                <w:sz w:val="20"/>
                <w:szCs w:val="20"/>
              </w:rPr>
              <w:t>.</w:t>
            </w:r>
            <w:r w:rsidR="001D391C">
              <w:rPr>
                <w:sz w:val="20"/>
                <w:szCs w:val="20"/>
              </w:rPr>
              <w:t>436</w:t>
            </w:r>
            <w:r>
              <w:rPr>
                <w:sz w:val="20"/>
                <w:szCs w:val="20"/>
              </w:rPr>
              <w:t xml:space="preserve"> (.</w:t>
            </w:r>
            <w:r w:rsidR="001D391C">
              <w:rPr>
                <w:sz w:val="20"/>
                <w:szCs w:val="20"/>
              </w:rPr>
              <w:t>242</w:t>
            </w:r>
            <w:r>
              <w:rPr>
                <w:sz w:val="20"/>
                <w:szCs w:val="20"/>
              </w:rPr>
              <w:t>)</w:t>
            </w:r>
          </w:p>
        </w:tc>
        <w:tc>
          <w:tcPr>
            <w:tcW w:w="1609" w:type="dxa"/>
          </w:tcPr>
          <w:p w:rsidR="008B3F17" w:rsidRPr="00A01FE6" w:rsidRDefault="008B3F17" w:rsidP="005C067C">
            <w:pPr>
              <w:jc w:val="center"/>
              <w:rPr>
                <w:sz w:val="20"/>
                <w:szCs w:val="20"/>
              </w:rPr>
            </w:pPr>
            <w:r w:rsidRPr="00A01FE6">
              <w:rPr>
                <w:sz w:val="20"/>
                <w:szCs w:val="20"/>
              </w:rPr>
              <w:t>.425(.243)</w:t>
            </w:r>
          </w:p>
        </w:tc>
      </w:tr>
      <w:tr w:rsidR="008B3F17" w:rsidRPr="00A01FE6">
        <w:tc>
          <w:tcPr>
            <w:tcW w:w="2640" w:type="dxa"/>
            <w:tcBorders>
              <w:bottom w:val="single" w:sz="4" w:space="0" w:color="auto"/>
            </w:tcBorders>
          </w:tcPr>
          <w:p w:rsidR="008B3F17" w:rsidRPr="00A01FE6" w:rsidRDefault="008B3F17" w:rsidP="005C067C">
            <w:pPr>
              <w:rPr>
                <w:sz w:val="20"/>
                <w:szCs w:val="20"/>
              </w:rPr>
            </w:pPr>
          </w:p>
        </w:tc>
        <w:tc>
          <w:tcPr>
            <w:tcW w:w="1714" w:type="dxa"/>
            <w:tcBorders>
              <w:bottom w:val="single" w:sz="4" w:space="0" w:color="auto"/>
            </w:tcBorders>
          </w:tcPr>
          <w:p w:rsidR="008B3F17" w:rsidRPr="00A01FE6" w:rsidRDefault="008B3F17" w:rsidP="005C067C">
            <w:pPr>
              <w:jc w:val="center"/>
              <w:rPr>
                <w:sz w:val="20"/>
                <w:szCs w:val="20"/>
              </w:rPr>
            </w:pPr>
          </w:p>
        </w:tc>
        <w:tc>
          <w:tcPr>
            <w:tcW w:w="1609" w:type="dxa"/>
            <w:tcBorders>
              <w:bottom w:val="single" w:sz="4" w:space="0" w:color="auto"/>
            </w:tcBorders>
          </w:tcPr>
          <w:p w:rsidR="008B3F17" w:rsidRPr="00A01FE6" w:rsidRDefault="008B3F17" w:rsidP="005C067C">
            <w:pPr>
              <w:jc w:val="center"/>
              <w:rPr>
                <w:sz w:val="20"/>
                <w:szCs w:val="20"/>
              </w:rPr>
            </w:pPr>
          </w:p>
        </w:tc>
        <w:tc>
          <w:tcPr>
            <w:tcW w:w="1520" w:type="dxa"/>
            <w:tcBorders>
              <w:bottom w:val="single" w:sz="4" w:space="0" w:color="auto"/>
            </w:tcBorders>
          </w:tcPr>
          <w:p w:rsidR="008B3F17" w:rsidRPr="00A01FE6" w:rsidRDefault="008B3F17" w:rsidP="005C067C">
            <w:pPr>
              <w:jc w:val="center"/>
              <w:rPr>
                <w:sz w:val="20"/>
                <w:szCs w:val="20"/>
              </w:rPr>
            </w:pPr>
          </w:p>
        </w:tc>
        <w:tc>
          <w:tcPr>
            <w:tcW w:w="1609" w:type="dxa"/>
            <w:tcBorders>
              <w:bottom w:val="single" w:sz="4" w:space="0" w:color="auto"/>
            </w:tcBorders>
          </w:tcPr>
          <w:p w:rsidR="008B3F17" w:rsidRPr="00A01FE6" w:rsidRDefault="008B3F17" w:rsidP="005C067C">
            <w:pPr>
              <w:jc w:val="center"/>
              <w:rPr>
                <w:sz w:val="20"/>
                <w:szCs w:val="20"/>
              </w:rPr>
            </w:pPr>
          </w:p>
        </w:tc>
      </w:tr>
    </w:tbl>
    <w:p w:rsidR="00B9207F" w:rsidRPr="00B72461" w:rsidRDefault="00B9207F" w:rsidP="00B9207F">
      <w:pPr>
        <w:rPr>
          <w:szCs w:val="18"/>
        </w:rPr>
      </w:pPr>
      <w:r w:rsidRPr="00D55238">
        <w:rPr>
          <w:szCs w:val="18"/>
        </w:rPr>
        <w:t>Note</w:t>
      </w:r>
      <w:r w:rsidR="00974A24">
        <w:rPr>
          <w:szCs w:val="18"/>
        </w:rPr>
        <w:t>s</w:t>
      </w:r>
      <w:r w:rsidRPr="00D55238">
        <w:rPr>
          <w:szCs w:val="18"/>
        </w:rPr>
        <w:t xml:space="preserve">: </w:t>
      </w:r>
      <w:r w:rsidR="00974A24" w:rsidRPr="00D55238">
        <w:rPr>
          <w:szCs w:val="18"/>
        </w:rPr>
        <w:t>* p ≤ .10 ** p ≤ .05 *** p ≤ .01</w:t>
      </w:r>
      <w:r w:rsidR="00974A24">
        <w:rPr>
          <w:szCs w:val="18"/>
        </w:rPr>
        <w:t xml:space="preserve">. </w:t>
      </w:r>
      <w:r w:rsidRPr="00D55238">
        <w:rPr>
          <w:szCs w:val="18"/>
        </w:rPr>
        <w:t xml:space="preserve">All models are ordered logistical regressions. Robust standard errors clustered on country reported in parentheses. All independent variables lagged one period. </w:t>
      </w:r>
    </w:p>
    <w:p w:rsidR="00B9207F" w:rsidRPr="00B72461" w:rsidRDefault="00B9207F" w:rsidP="00B9207F">
      <w:pPr>
        <w:rPr>
          <w:b/>
          <w:bCs/>
        </w:rPr>
      </w:pPr>
      <w:r w:rsidRPr="00D55238">
        <w:rPr>
          <w:szCs w:val="18"/>
        </w:rPr>
        <w:br w:type="page"/>
      </w:r>
      <w:r w:rsidRPr="00D55238">
        <w:rPr>
          <w:b/>
          <w:bCs/>
        </w:rPr>
        <w:lastRenderedPageBreak/>
        <w:t xml:space="preserve">Table </w:t>
      </w:r>
      <w:r>
        <w:rPr>
          <w:b/>
          <w:bCs/>
        </w:rPr>
        <w:t>3</w:t>
      </w:r>
      <w:r w:rsidRPr="00D55238">
        <w:rPr>
          <w:b/>
          <w:bCs/>
        </w:rPr>
        <w:t>. Terrorism and Military Torture (ITT), 1995 to 2005</w:t>
      </w:r>
    </w:p>
    <w:p w:rsidR="00B9207F" w:rsidRPr="00B72461" w:rsidRDefault="00B9207F" w:rsidP="00B9207F"/>
    <w:tbl>
      <w:tblPr>
        <w:tblW w:w="9965" w:type="dxa"/>
        <w:tblLook w:val="00A0" w:firstRow="1" w:lastRow="0" w:firstColumn="1" w:lastColumn="0" w:noHBand="0" w:noVBand="0"/>
      </w:tblPr>
      <w:tblGrid>
        <w:gridCol w:w="3258"/>
        <w:gridCol w:w="2070"/>
        <w:gridCol w:w="1530"/>
        <w:gridCol w:w="1507"/>
        <w:gridCol w:w="1600"/>
      </w:tblGrid>
      <w:tr w:rsidR="006C5E16" w:rsidRPr="006C5E16">
        <w:tc>
          <w:tcPr>
            <w:tcW w:w="3258" w:type="dxa"/>
            <w:tcBorders>
              <w:top w:val="single" w:sz="4" w:space="0" w:color="auto"/>
            </w:tcBorders>
          </w:tcPr>
          <w:p w:rsidR="006C5E16" w:rsidRPr="006C5E16" w:rsidRDefault="006C5E16" w:rsidP="005C067C">
            <w:pPr>
              <w:rPr>
                <w:sz w:val="20"/>
                <w:szCs w:val="20"/>
              </w:rPr>
            </w:pPr>
          </w:p>
        </w:tc>
        <w:tc>
          <w:tcPr>
            <w:tcW w:w="6707" w:type="dxa"/>
            <w:gridSpan w:val="4"/>
            <w:tcBorders>
              <w:top w:val="single" w:sz="4" w:space="0" w:color="auto"/>
            </w:tcBorders>
          </w:tcPr>
          <w:p w:rsidR="006C5E16" w:rsidRDefault="006C5E16" w:rsidP="005C067C">
            <w:pPr>
              <w:jc w:val="center"/>
              <w:rPr>
                <w:sz w:val="20"/>
                <w:szCs w:val="20"/>
              </w:rPr>
            </w:pPr>
            <w:r w:rsidRPr="006C5E16">
              <w:rPr>
                <w:sz w:val="20"/>
                <w:szCs w:val="20"/>
              </w:rPr>
              <w:t>Dependent Variable:</w:t>
            </w:r>
          </w:p>
          <w:p w:rsidR="003717B7" w:rsidRPr="006C5E16" w:rsidRDefault="003717B7" w:rsidP="005C067C">
            <w:pPr>
              <w:jc w:val="center"/>
              <w:rPr>
                <w:sz w:val="20"/>
                <w:szCs w:val="20"/>
              </w:rPr>
            </w:pPr>
          </w:p>
        </w:tc>
      </w:tr>
      <w:tr w:rsidR="006C5E16" w:rsidRPr="006C5E16">
        <w:tc>
          <w:tcPr>
            <w:tcW w:w="3258" w:type="dxa"/>
            <w:tcBorders>
              <w:bottom w:val="single" w:sz="4" w:space="0" w:color="auto"/>
            </w:tcBorders>
          </w:tcPr>
          <w:p w:rsidR="006C5E16" w:rsidRPr="006C5E16" w:rsidRDefault="006C5E16" w:rsidP="005C067C">
            <w:pPr>
              <w:rPr>
                <w:sz w:val="20"/>
                <w:szCs w:val="20"/>
              </w:rPr>
            </w:pPr>
          </w:p>
        </w:tc>
        <w:tc>
          <w:tcPr>
            <w:tcW w:w="2070" w:type="dxa"/>
            <w:tcBorders>
              <w:bottom w:val="single" w:sz="4" w:space="0" w:color="auto"/>
            </w:tcBorders>
          </w:tcPr>
          <w:p w:rsidR="006C5E16" w:rsidRDefault="006C5E16" w:rsidP="005C067C">
            <w:pPr>
              <w:jc w:val="center"/>
              <w:rPr>
                <w:sz w:val="20"/>
                <w:szCs w:val="20"/>
              </w:rPr>
            </w:pPr>
            <w:r w:rsidRPr="006C5E16">
              <w:rPr>
                <w:sz w:val="20"/>
                <w:szCs w:val="20"/>
              </w:rPr>
              <w:t xml:space="preserve">Military (ITT) </w:t>
            </w:r>
          </w:p>
          <w:p w:rsidR="006C5E16" w:rsidRPr="006C5E16" w:rsidRDefault="006C5E16" w:rsidP="005C067C">
            <w:pPr>
              <w:jc w:val="center"/>
              <w:rPr>
                <w:sz w:val="20"/>
                <w:szCs w:val="20"/>
              </w:rPr>
            </w:pPr>
            <w:r w:rsidRPr="006C5E16">
              <w:rPr>
                <w:sz w:val="20"/>
                <w:szCs w:val="20"/>
              </w:rPr>
              <w:t>Torture</w:t>
            </w:r>
          </w:p>
        </w:tc>
        <w:tc>
          <w:tcPr>
            <w:tcW w:w="1530" w:type="dxa"/>
            <w:tcBorders>
              <w:bottom w:val="single" w:sz="4" w:space="0" w:color="auto"/>
            </w:tcBorders>
          </w:tcPr>
          <w:p w:rsidR="006C5E16" w:rsidRDefault="006C5E16" w:rsidP="005C067C">
            <w:pPr>
              <w:jc w:val="center"/>
              <w:rPr>
                <w:sz w:val="20"/>
                <w:szCs w:val="20"/>
              </w:rPr>
            </w:pPr>
            <w:r w:rsidRPr="006C5E16">
              <w:rPr>
                <w:sz w:val="20"/>
                <w:szCs w:val="20"/>
              </w:rPr>
              <w:t xml:space="preserve">Military </w:t>
            </w:r>
            <w:r>
              <w:rPr>
                <w:sz w:val="20"/>
                <w:szCs w:val="20"/>
              </w:rPr>
              <w:t>(ITT)</w:t>
            </w:r>
          </w:p>
          <w:p w:rsidR="006C5E16" w:rsidRPr="006C5E16" w:rsidRDefault="006C5E16" w:rsidP="005C067C">
            <w:pPr>
              <w:jc w:val="center"/>
              <w:rPr>
                <w:sz w:val="20"/>
                <w:szCs w:val="20"/>
              </w:rPr>
            </w:pPr>
            <w:r w:rsidRPr="006C5E16">
              <w:rPr>
                <w:sz w:val="20"/>
                <w:szCs w:val="20"/>
              </w:rPr>
              <w:t>Torture</w:t>
            </w:r>
          </w:p>
        </w:tc>
        <w:tc>
          <w:tcPr>
            <w:tcW w:w="1507" w:type="dxa"/>
            <w:tcBorders>
              <w:bottom w:val="single" w:sz="4" w:space="0" w:color="auto"/>
            </w:tcBorders>
          </w:tcPr>
          <w:p w:rsidR="006C5E16" w:rsidRDefault="006C5E16" w:rsidP="006E6134">
            <w:pPr>
              <w:jc w:val="center"/>
              <w:rPr>
                <w:sz w:val="20"/>
                <w:szCs w:val="20"/>
              </w:rPr>
            </w:pPr>
            <w:r w:rsidRPr="006C5E16">
              <w:rPr>
                <w:sz w:val="20"/>
                <w:szCs w:val="20"/>
              </w:rPr>
              <w:t xml:space="preserve">Military (ITT) </w:t>
            </w:r>
          </w:p>
          <w:p w:rsidR="006C5E16" w:rsidRPr="006C5E16" w:rsidRDefault="006C5E16" w:rsidP="006E6134">
            <w:pPr>
              <w:jc w:val="center"/>
              <w:rPr>
                <w:sz w:val="20"/>
                <w:szCs w:val="20"/>
              </w:rPr>
            </w:pPr>
            <w:r w:rsidRPr="006C5E16">
              <w:rPr>
                <w:sz w:val="20"/>
                <w:szCs w:val="20"/>
              </w:rPr>
              <w:t>Torture</w:t>
            </w:r>
          </w:p>
        </w:tc>
        <w:tc>
          <w:tcPr>
            <w:tcW w:w="1600" w:type="dxa"/>
            <w:tcBorders>
              <w:bottom w:val="single" w:sz="4" w:space="0" w:color="auto"/>
            </w:tcBorders>
          </w:tcPr>
          <w:p w:rsidR="006C5E16" w:rsidRDefault="006C5E16" w:rsidP="006E6134">
            <w:pPr>
              <w:jc w:val="center"/>
              <w:rPr>
                <w:sz w:val="20"/>
                <w:szCs w:val="20"/>
              </w:rPr>
            </w:pPr>
            <w:r w:rsidRPr="006C5E16">
              <w:rPr>
                <w:sz w:val="20"/>
                <w:szCs w:val="20"/>
              </w:rPr>
              <w:t xml:space="preserve">Military (ITT) </w:t>
            </w:r>
          </w:p>
          <w:p w:rsidR="006C5E16" w:rsidRPr="006C5E16" w:rsidRDefault="006C5E16" w:rsidP="006E6134">
            <w:pPr>
              <w:jc w:val="center"/>
              <w:rPr>
                <w:sz w:val="20"/>
                <w:szCs w:val="20"/>
              </w:rPr>
            </w:pPr>
            <w:r w:rsidRPr="006C5E16">
              <w:rPr>
                <w:sz w:val="20"/>
                <w:szCs w:val="20"/>
              </w:rPr>
              <w:t xml:space="preserve">Torture </w:t>
            </w:r>
          </w:p>
        </w:tc>
      </w:tr>
      <w:tr w:rsidR="006C5E16" w:rsidRPr="006C5E16">
        <w:tc>
          <w:tcPr>
            <w:tcW w:w="3258" w:type="dxa"/>
            <w:tcBorders>
              <w:top w:val="single" w:sz="4" w:space="0" w:color="auto"/>
            </w:tcBorders>
          </w:tcPr>
          <w:p w:rsidR="006C5E16" w:rsidRPr="006C5E16" w:rsidRDefault="006C5E16" w:rsidP="005C067C">
            <w:pPr>
              <w:rPr>
                <w:sz w:val="20"/>
                <w:szCs w:val="20"/>
              </w:rPr>
            </w:pPr>
          </w:p>
        </w:tc>
        <w:tc>
          <w:tcPr>
            <w:tcW w:w="2070" w:type="dxa"/>
            <w:tcBorders>
              <w:top w:val="single" w:sz="4" w:space="0" w:color="auto"/>
            </w:tcBorders>
          </w:tcPr>
          <w:p w:rsidR="006C5E16" w:rsidRPr="006C5E16" w:rsidRDefault="006C5E16" w:rsidP="005C067C">
            <w:pPr>
              <w:jc w:val="center"/>
              <w:rPr>
                <w:sz w:val="20"/>
                <w:szCs w:val="20"/>
              </w:rPr>
            </w:pPr>
          </w:p>
        </w:tc>
        <w:tc>
          <w:tcPr>
            <w:tcW w:w="1530" w:type="dxa"/>
            <w:tcBorders>
              <w:top w:val="single" w:sz="4" w:space="0" w:color="auto"/>
            </w:tcBorders>
          </w:tcPr>
          <w:p w:rsidR="006C5E16" w:rsidRPr="006C5E16" w:rsidRDefault="006C5E16" w:rsidP="005C067C">
            <w:pPr>
              <w:jc w:val="center"/>
              <w:rPr>
                <w:sz w:val="20"/>
                <w:szCs w:val="20"/>
              </w:rPr>
            </w:pPr>
          </w:p>
        </w:tc>
        <w:tc>
          <w:tcPr>
            <w:tcW w:w="1507" w:type="dxa"/>
            <w:tcBorders>
              <w:top w:val="single" w:sz="4" w:space="0" w:color="auto"/>
            </w:tcBorders>
          </w:tcPr>
          <w:p w:rsidR="006C5E16" w:rsidRPr="006C5E16" w:rsidRDefault="006C5E16" w:rsidP="005C067C">
            <w:pPr>
              <w:jc w:val="center"/>
              <w:rPr>
                <w:sz w:val="20"/>
                <w:szCs w:val="20"/>
              </w:rPr>
            </w:pPr>
          </w:p>
        </w:tc>
        <w:tc>
          <w:tcPr>
            <w:tcW w:w="1600" w:type="dxa"/>
            <w:tcBorders>
              <w:top w:val="single" w:sz="4" w:space="0" w:color="auto"/>
            </w:tcBorders>
          </w:tcPr>
          <w:p w:rsidR="006C5E16" w:rsidRPr="006C5E16" w:rsidRDefault="006C5E16" w:rsidP="005C067C">
            <w:pPr>
              <w:jc w:val="center"/>
              <w:rPr>
                <w:sz w:val="20"/>
                <w:szCs w:val="20"/>
              </w:rPr>
            </w:pPr>
          </w:p>
        </w:tc>
      </w:tr>
      <w:tr w:rsidR="006C5E16" w:rsidRPr="006C5E16">
        <w:tc>
          <w:tcPr>
            <w:tcW w:w="3258" w:type="dxa"/>
          </w:tcPr>
          <w:p w:rsidR="006C5E16" w:rsidRPr="006C5E16" w:rsidRDefault="006C5E16" w:rsidP="005C067C">
            <w:pPr>
              <w:rPr>
                <w:sz w:val="20"/>
                <w:szCs w:val="20"/>
              </w:rPr>
            </w:pPr>
            <w:r w:rsidRPr="006C5E16">
              <w:rPr>
                <w:sz w:val="20"/>
                <w:szCs w:val="20"/>
              </w:rPr>
              <w:t>Domestic Terrorism (GTD)</w:t>
            </w:r>
          </w:p>
        </w:tc>
        <w:tc>
          <w:tcPr>
            <w:tcW w:w="2070" w:type="dxa"/>
          </w:tcPr>
          <w:p w:rsidR="006C5E16" w:rsidRPr="006C5E16" w:rsidRDefault="006C5E16" w:rsidP="005C067C">
            <w:pPr>
              <w:jc w:val="center"/>
              <w:rPr>
                <w:sz w:val="20"/>
                <w:szCs w:val="20"/>
              </w:rPr>
            </w:pPr>
            <w:r w:rsidRPr="006C5E16">
              <w:rPr>
                <w:sz w:val="20"/>
                <w:szCs w:val="20"/>
              </w:rPr>
              <w:t>.010 (.</w:t>
            </w:r>
            <w:r w:rsidRPr="006C5E16">
              <w:rPr>
                <w:iCs/>
                <w:sz w:val="20"/>
                <w:szCs w:val="20"/>
              </w:rPr>
              <w:t>005</w:t>
            </w:r>
            <w:r w:rsidRPr="006C5E16">
              <w:rPr>
                <w:sz w:val="20"/>
                <w:szCs w:val="20"/>
              </w:rPr>
              <w:t>)*</w:t>
            </w:r>
          </w:p>
        </w:tc>
        <w:tc>
          <w:tcPr>
            <w:tcW w:w="1530" w:type="dxa"/>
          </w:tcPr>
          <w:p w:rsidR="006C5E16" w:rsidRPr="006C5E16" w:rsidRDefault="006C5E16" w:rsidP="005C067C">
            <w:pPr>
              <w:jc w:val="center"/>
              <w:rPr>
                <w:sz w:val="20"/>
                <w:szCs w:val="20"/>
              </w:rPr>
            </w:pPr>
          </w:p>
        </w:tc>
        <w:tc>
          <w:tcPr>
            <w:tcW w:w="1507" w:type="dxa"/>
          </w:tcPr>
          <w:p w:rsidR="006C5E16" w:rsidRPr="006C5E16" w:rsidRDefault="00E17F6E" w:rsidP="001D391C">
            <w:pPr>
              <w:jc w:val="center"/>
              <w:rPr>
                <w:sz w:val="20"/>
                <w:szCs w:val="20"/>
              </w:rPr>
            </w:pPr>
            <w:r>
              <w:rPr>
                <w:sz w:val="20"/>
                <w:szCs w:val="20"/>
              </w:rPr>
              <w:t>.</w:t>
            </w:r>
            <w:r w:rsidR="001D391C">
              <w:rPr>
                <w:sz w:val="20"/>
                <w:szCs w:val="20"/>
              </w:rPr>
              <w:t>006 (.004)</w:t>
            </w:r>
          </w:p>
        </w:tc>
        <w:tc>
          <w:tcPr>
            <w:tcW w:w="1600" w:type="dxa"/>
          </w:tcPr>
          <w:p w:rsidR="006C5E16" w:rsidRPr="006C5E16" w:rsidRDefault="006C5E16" w:rsidP="005C067C">
            <w:pPr>
              <w:jc w:val="center"/>
              <w:rPr>
                <w:sz w:val="20"/>
                <w:szCs w:val="20"/>
              </w:rPr>
            </w:pPr>
          </w:p>
        </w:tc>
      </w:tr>
      <w:tr w:rsidR="006C5E16" w:rsidRPr="006C5E16">
        <w:tc>
          <w:tcPr>
            <w:tcW w:w="3258" w:type="dxa"/>
          </w:tcPr>
          <w:p w:rsidR="006C5E16" w:rsidRPr="006C5E16" w:rsidRDefault="006C5E16" w:rsidP="005C067C">
            <w:pPr>
              <w:rPr>
                <w:sz w:val="20"/>
                <w:szCs w:val="20"/>
              </w:rPr>
            </w:pPr>
            <w:r w:rsidRPr="006C5E16">
              <w:rPr>
                <w:sz w:val="20"/>
                <w:szCs w:val="20"/>
              </w:rPr>
              <w:t>Transnational Terrorism (ITERATE)</w:t>
            </w:r>
          </w:p>
        </w:tc>
        <w:tc>
          <w:tcPr>
            <w:tcW w:w="2070" w:type="dxa"/>
          </w:tcPr>
          <w:p w:rsidR="006C5E16" w:rsidRPr="006C5E16" w:rsidRDefault="006C5E16" w:rsidP="005C067C">
            <w:pPr>
              <w:jc w:val="center"/>
              <w:rPr>
                <w:sz w:val="20"/>
                <w:szCs w:val="20"/>
              </w:rPr>
            </w:pPr>
          </w:p>
        </w:tc>
        <w:tc>
          <w:tcPr>
            <w:tcW w:w="1530" w:type="dxa"/>
          </w:tcPr>
          <w:p w:rsidR="006C5E16" w:rsidRPr="006C5E16" w:rsidRDefault="006C5E16" w:rsidP="005C067C">
            <w:pPr>
              <w:jc w:val="center"/>
              <w:rPr>
                <w:sz w:val="20"/>
                <w:szCs w:val="20"/>
              </w:rPr>
            </w:pPr>
            <w:r w:rsidRPr="006C5E16">
              <w:rPr>
                <w:sz w:val="20"/>
                <w:szCs w:val="20"/>
              </w:rPr>
              <w:t>.099 (.</w:t>
            </w:r>
            <w:r w:rsidRPr="006C5E16">
              <w:rPr>
                <w:iCs/>
                <w:sz w:val="20"/>
                <w:szCs w:val="20"/>
              </w:rPr>
              <w:t>030</w:t>
            </w:r>
            <w:r w:rsidRPr="006C5E16">
              <w:rPr>
                <w:sz w:val="20"/>
                <w:szCs w:val="20"/>
              </w:rPr>
              <w:t>)***</w:t>
            </w:r>
          </w:p>
        </w:tc>
        <w:tc>
          <w:tcPr>
            <w:tcW w:w="1507" w:type="dxa"/>
          </w:tcPr>
          <w:p w:rsidR="006C5E16" w:rsidRPr="006C5E16" w:rsidRDefault="00E17F6E" w:rsidP="001D391C">
            <w:pPr>
              <w:jc w:val="center"/>
              <w:rPr>
                <w:sz w:val="20"/>
                <w:szCs w:val="20"/>
              </w:rPr>
            </w:pPr>
            <w:r>
              <w:rPr>
                <w:sz w:val="20"/>
                <w:szCs w:val="20"/>
              </w:rPr>
              <w:t>.</w:t>
            </w:r>
            <w:r w:rsidR="001D391C">
              <w:rPr>
                <w:sz w:val="20"/>
                <w:szCs w:val="20"/>
              </w:rPr>
              <w:t>081</w:t>
            </w:r>
            <w:r>
              <w:rPr>
                <w:sz w:val="20"/>
                <w:szCs w:val="20"/>
              </w:rPr>
              <w:t xml:space="preserve"> (.</w:t>
            </w:r>
            <w:r w:rsidR="001D391C">
              <w:rPr>
                <w:sz w:val="20"/>
                <w:szCs w:val="20"/>
              </w:rPr>
              <w:t>026</w:t>
            </w:r>
            <w:r>
              <w:rPr>
                <w:sz w:val="20"/>
                <w:szCs w:val="20"/>
              </w:rPr>
              <w:t>)**</w:t>
            </w:r>
            <w:r w:rsidR="001D391C">
              <w:rPr>
                <w:sz w:val="20"/>
                <w:szCs w:val="20"/>
              </w:rPr>
              <w:t>*</w:t>
            </w:r>
          </w:p>
        </w:tc>
        <w:tc>
          <w:tcPr>
            <w:tcW w:w="1600" w:type="dxa"/>
          </w:tcPr>
          <w:p w:rsidR="006C5E16" w:rsidRPr="006C5E16" w:rsidRDefault="006C5E16" w:rsidP="005C067C">
            <w:pPr>
              <w:jc w:val="center"/>
              <w:rPr>
                <w:sz w:val="20"/>
                <w:szCs w:val="20"/>
              </w:rPr>
            </w:pPr>
          </w:p>
        </w:tc>
      </w:tr>
      <w:tr w:rsidR="006C5E16" w:rsidRPr="006C5E16">
        <w:tc>
          <w:tcPr>
            <w:tcW w:w="3258" w:type="dxa"/>
          </w:tcPr>
          <w:p w:rsidR="006C5E16" w:rsidRPr="006C5E16" w:rsidRDefault="006C5E16" w:rsidP="005C067C">
            <w:pPr>
              <w:rPr>
                <w:sz w:val="20"/>
                <w:szCs w:val="20"/>
              </w:rPr>
            </w:pPr>
            <w:r w:rsidRPr="006C5E16">
              <w:rPr>
                <w:sz w:val="20"/>
                <w:szCs w:val="20"/>
              </w:rPr>
              <w:t>All Terrorism (GTD)</w:t>
            </w:r>
          </w:p>
        </w:tc>
        <w:tc>
          <w:tcPr>
            <w:tcW w:w="2070" w:type="dxa"/>
          </w:tcPr>
          <w:p w:rsidR="006C5E16" w:rsidRPr="006C5E16" w:rsidRDefault="006C5E16" w:rsidP="005C067C">
            <w:pPr>
              <w:jc w:val="center"/>
              <w:rPr>
                <w:sz w:val="20"/>
                <w:szCs w:val="20"/>
              </w:rPr>
            </w:pPr>
          </w:p>
        </w:tc>
        <w:tc>
          <w:tcPr>
            <w:tcW w:w="1530" w:type="dxa"/>
          </w:tcPr>
          <w:p w:rsidR="006C5E16" w:rsidRPr="006C5E16" w:rsidRDefault="006C5E16" w:rsidP="005C067C">
            <w:pPr>
              <w:jc w:val="center"/>
              <w:rPr>
                <w:sz w:val="20"/>
                <w:szCs w:val="20"/>
              </w:rPr>
            </w:pPr>
          </w:p>
        </w:tc>
        <w:tc>
          <w:tcPr>
            <w:tcW w:w="1507" w:type="dxa"/>
          </w:tcPr>
          <w:p w:rsidR="006C5E16" w:rsidRPr="006C5E16" w:rsidRDefault="006C5E16" w:rsidP="005C067C">
            <w:pPr>
              <w:jc w:val="center"/>
              <w:rPr>
                <w:sz w:val="20"/>
                <w:szCs w:val="20"/>
              </w:rPr>
            </w:pPr>
          </w:p>
        </w:tc>
        <w:tc>
          <w:tcPr>
            <w:tcW w:w="1600" w:type="dxa"/>
          </w:tcPr>
          <w:p w:rsidR="006C5E16" w:rsidRPr="006C5E16" w:rsidRDefault="006C5E16" w:rsidP="005C067C">
            <w:pPr>
              <w:jc w:val="center"/>
              <w:rPr>
                <w:sz w:val="20"/>
                <w:szCs w:val="20"/>
              </w:rPr>
            </w:pPr>
            <w:r w:rsidRPr="006C5E16">
              <w:rPr>
                <w:sz w:val="20"/>
                <w:szCs w:val="20"/>
              </w:rPr>
              <w:t>.009 (.</w:t>
            </w:r>
            <w:r w:rsidRPr="006C5E16">
              <w:rPr>
                <w:iCs/>
                <w:sz w:val="20"/>
                <w:szCs w:val="20"/>
              </w:rPr>
              <w:t>005</w:t>
            </w:r>
            <w:r w:rsidRPr="006C5E16">
              <w:rPr>
                <w:sz w:val="20"/>
                <w:szCs w:val="20"/>
              </w:rPr>
              <w:t>)*</w:t>
            </w:r>
          </w:p>
        </w:tc>
      </w:tr>
      <w:tr w:rsidR="006C5E16" w:rsidRPr="006C5E16">
        <w:tc>
          <w:tcPr>
            <w:tcW w:w="3258" w:type="dxa"/>
          </w:tcPr>
          <w:p w:rsidR="006C5E16" w:rsidRPr="006C5E16" w:rsidRDefault="006C5E16" w:rsidP="005C067C">
            <w:pPr>
              <w:rPr>
                <w:sz w:val="20"/>
                <w:szCs w:val="20"/>
              </w:rPr>
            </w:pPr>
            <w:r w:rsidRPr="006C5E16">
              <w:rPr>
                <w:sz w:val="20"/>
                <w:szCs w:val="20"/>
              </w:rPr>
              <w:t xml:space="preserve">Regime Type </w:t>
            </w:r>
          </w:p>
        </w:tc>
        <w:tc>
          <w:tcPr>
            <w:tcW w:w="2070" w:type="dxa"/>
          </w:tcPr>
          <w:p w:rsidR="006C5E16" w:rsidRPr="006C5E16" w:rsidRDefault="006C5E16" w:rsidP="005C067C">
            <w:pPr>
              <w:jc w:val="center"/>
              <w:rPr>
                <w:sz w:val="20"/>
                <w:szCs w:val="20"/>
              </w:rPr>
            </w:pPr>
            <w:r w:rsidRPr="006C5E16">
              <w:rPr>
                <w:sz w:val="20"/>
                <w:szCs w:val="20"/>
              </w:rPr>
              <w:t>-.064 (.</w:t>
            </w:r>
            <w:r w:rsidRPr="006C5E16">
              <w:rPr>
                <w:iCs/>
                <w:sz w:val="20"/>
                <w:szCs w:val="20"/>
              </w:rPr>
              <w:t>018</w:t>
            </w:r>
            <w:r w:rsidRPr="006C5E16">
              <w:rPr>
                <w:sz w:val="20"/>
                <w:szCs w:val="20"/>
              </w:rPr>
              <w:t>)***</w:t>
            </w:r>
          </w:p>
        </w:tc>
        <w:tc>
          <w:tcPr>
            <w:tcW w:w="1530" w:type="dxa"/>
          </w:tcPr>
          <w:p w:rsidR="006C5E16" w:rsidRPr="006C5E16" w:rsidRDefault="006C5E16" w:rsidP="005C067C">
            <w:pPr>
              <w:jc w:val="center"/>
              <w:rPr>
                <w:sz w:val="20"/>
                <w:szCs w:val="20"/>
              </w:rPr>
            </w:pPr>
            <w:r w:rsidRPr="006C5E16">
              <w:rPr>
                <w:sz w:val="20"/>
                <w:szCs w:val="20"/>
              </w:rPr>
              <w:t>-.061 (.</w:t>
            </w:r>
            <w:r w:rsidRPr="006C5E16">
              <w:rPr>
                <w:iCs/>
                <w:sz w:val="20"/>
                <w:szCs w:val="20"/>
              </w:rPr>
              <w:t>019</w:t>
            </w:r>
            <w:r w:rsidRPr="006C5E16">
              <w:rPr>
                <w:sz w:val="20"/>
                <w:szCs w:val="20"/>
              </w:rPr>
              <w:t>)***</w:t>
            </w:r>
          </w:p>
        </w:tc>
        <w:tc>
          <w:tcPr>
            <w:tcW w:w="1507" w:type="dxa"/>
          </w:tcPr>
          <w:p w:rsidR="006C5E16" w:rsidRPr="006C5E16" w:rsidRDefault="00E17F6E" w:rsidP="001D391C">
            <w:pPr>
              <w:jc w:val="center"/>
              <w:rPr>
                <w:sz w:val="20"/>
                <w:szCs w:val="20"/>
              </w:rPr>
            </w:pPr>
            <w:r>
              <w:rPr>
                <w:sz w:val="20"/>
                <w:szCs w:val="20"/>
              </w:rPr>
              <w:t>-.</w:t>
            </w:r>
            <w:r w:rsidR="001D391C">
              <w:rPr>
                <w:sz w:val="20"/>
                <w:szCs w:val="20"/>
              </w:rPr>
              <w:t>062</w:t>
            </w:r>
            <w:r>
              <w:rPr>
                <w:sz w:val="20"/>
                <w:szCs w:val="20"/>
              </w:rPr>
              <w:t xml:space="preserve"> (.018)***</w:t>
            </w:r>
          </w:p>
        </w:tc>
        <w:tc>
          <w:tcPr>
            <w:tcW w:w="1600" w:type="dxa"/>
          </w:tcPr>
          <w:p w:rsidR="006C5E16" w:rsidRPr="006C5E16" w:rsidRDefault="006C5E16" w:rsidP="005C067C">
            <w:pPr>
              <w:jc w:val="center"/>
              <w:rPr>
                <w:sz w:val="20"/>
                <w:szCs w:val="20"/>
              </w:rPr>
            </w:pPr>
            <w:r w:rsidRPr="006C5E16">
              <w:rPr>
                <w:sz w:val="20"/>
                <w:szCs w:val="20"/>
              </w:rPr>
              <w:t>-.063 (.</w:t>
            </w:r>
            <w:r w:rsidRPr="006C5E16">
              <w:rPr>
                <w:iCs/>
                <w:sz w:val="20"/>
                <w:szCs w:val="20"/>
              </w:rPr>
              <w:t>018</w:t>
            </w:r>
            <w:r w:rsidRPr="006C5E16">
              <w:rPr>
                <w:sz w:val="20"/>
                <w:szCs w:val="20"/>
              </w:rPr>
              <w:t>)***</w:t>
            </w:r>
          </w:p>
        </w:tc>
      </w:tr>
      <w:tr w:rsidR="006C5E16" w:rsidRPr="006C5E16">
        <w:tc>
          <w:tcPr>
            <w:tcW w:w="3258" w:type="dxa"/>
          </w:tcPr>
          <w:p w:rsidR="006C5E16" w:rsidRPr="006C5E16" w:rsidRDefault="006C5E16" w:rsidP="005C067C">
            <w:pPr>
              <w:rPr>
                <w:sz w:val="20"/>
                <w:szCs w:val="20"/>
              </w:rPr>
            </w:pPr>
            <w:r w:rsidRPr="006C5E16">
              <w:rPr>
                <w:sz w:val="20"/>
                <w:szCs w:val="20"/>
              </w:rPr>
              <w:t>GDP Per Capita</w:t>
            </w:r>
          </w:p>
        </w:tc>
        <w:tc>
          <w:tcPr>
            <w:tcW w:w="2070" w:type="dxa"/>
          </w:tcPr>
          <w:p w:rsidR="006C5E16" w:rsidRPr="006C5E16" w:rsidRDefault="006C5E16" w:rsidP="005C067C">
            <w:pPr>
              <w:jc w:val="center"/>
              <w:rPr>
                <w:sz w:val="20"/>
                <w:szCs w:val="20"/>
              </w:rPr>
            </w:pPr>
            <w:r w:rsidRPr="006C5E16">
              <w:rPr>
                <w:sz w:val="20"/>
                <w:szCs w:val="20"/>
              </w:rPr>
              <w:t>-.001 (.</w:t>
            </w:r>
            <w:r w:rsidRPr="006C5E16">
              <w:rPr>
                <w:iCs/>
                <w:sz w:val="20"/>
                <w:szCs w:val="20"/>
              </w:rPr>
              <w:t>001</w:t>
            </w:r>
            <w:r w:rsidRPr="006C5E16">
              <w:rPr>
                <w:sz w:val="20"/>
                <w:szCs w:val="20"/>
              </w:rPr>
              <w:t>)</w:t>
            </w:r>
          </w:p>
        </w:tc>
        <w:tc>
          <w:tcPr>
            <w:tcW w:w="1530" w:type="dxa"/>
          </w:tcPr>
          <w:p w:rsidR="006C5E16" w:rsidRPr="006C5E16" w:rsidRDefault="006C5E16" w:rsidP="005C067C">
            <w:pPr>
              <w:jc w:val="center"/>
              <w:rPr>
                <w:sz w:val="20"/>
                <w:szCs w:val="20"/>
              </w:rPr>
            </w:pPr>
            <w:r w:rsidRPr="006C5E16">
              <w:rPr>
                <w:sz w:val="20"/>
                <w:szCs w:val="20"/>
              </w:rPr>
              <w:t>-.001 (.</w:t>
            </w:r>
            <w:r w:rsidRPr="006C5E16">
              <w:rPr>
                <w:iCs/>
                <w:sz w:val="20"/>
                <w:szCs w:val="20"/>
              </w:rPr>
              <w:t>001</w:t>
            </w:r>
            <w:r w:rsidRPr="006C5E16">
              <w:rPr>
                <w:sz w:val="20"/>
                <w:szCs w:val="20"/>
              </w:rPr>
              <w:t>)*</w:t>
            </w:r>
          </w:p>
        </w:tc>
        <w:tc>
          <w:tcPr>
            <w:tcW w:w="1507" w:type="dxa"/>
          </w:tcPr>
          <w:p w:rsidR="006C5E16" w:rsidRPr="006C5E16" w:rsidRDefault="001D391C" w:rsidP="005C067C">
            <w:pPr>
              <w:jc w:val="center"/>
              <w:rPr>
                <w:sz w:val="20"/>
                <w:szCs w:val="20"/>
              </w:rPr>
            </w:pPr>
            <w:r>
              <w:rPr>
                <w:sz w:val="20"/>
                <w:szCs w:val="20"/>
              </w:rPr>
              <w:t>.001 (.001)*</w:t>
            </w:r>
          </w:p>
        </w:tc>
        <w:tc>
          <w:tcPr>
            <w:tcW w:w="1600" w:type="dxa"/>
          </w:tcPr>
          <w:p w:rsidR="006C5E16" w:rsidRPr="006C5E16" w:rsidRDefault="006C5E16" w:rsidP="005C067C">
            <w:pPr>
              <w:jc w:val="center"/>
              <w:rPr>
                <w:sz w:val="20"/>
                <w:szCs w:val="20"/>
              </w:rPr>
            </w:pPr>
            <w:r w:rsidRPr="006C5E16">
              <w:rPr>
                <w:sz w:val="20"/>
                <w:szCs w:val="20"/>
              </w:rPr>
              <w:t>-.001 (.</w:t>
            </w:r>
            <w:r w:rsidRPr="006C5E16">
              <w:rPr>
                <w:iCs/>
                <w:sz w:val="20"/>
                <w:szCs w:val="20"/>
              </w:rPr>
              <w:t>001</w:t>
            </w:r>
            <w:r w:rsidRPr="006C5E16">
              <w:rPr>
                <w:sz w:val="20"/>
                <w:szCs w:val="20"/>
              </w:rPr>
              <w:t>)</w:t>
            </w:r>
          </w:p>
        </w:tc>
      </w:tr>
      <w:tr w:rsidR="006C5E16" w:rsidRPr="006C5E16">
        <w:tc>
          <w:tcPr>
            <w:tcW w:w="3258" w:type="dxa"/>
          </w:tcPr>
          <w:p w:rsidR="006C5E16" w:rsidRPr="006C5E16" w:rsidRDefault="006C5E16" w:rsidP="005C067C">
            <w:pPr>
              <w:rPr>
                <w:sz w:val="20"/>
                <w:szCs w:val="20"/>
              </w:rPr>
            </w:pPr>
            <w:r w:rsidRPr="006C5E16">
              <w:rPr>
                <w:sz w:val="20"/>
                <w:szCs w:val="20"/>
              </w:rPr>
              <w:t>Population</w:t>
            </w:r>
          </w:p>
        </w:tc>
        <w:tc>
          <w:tcPr>
            <w:tcW w:w="2070" w:type="dxa"/>
          </w:tcPr>
          <w:p w:rsidR="006C5E16" w:rsidRPr="006C5E16" w:rsidRDefault="006C5E16" w:rsidP="005C067C">
            <w:pPr>
              <w:jc w:val="center"/>
              <w:rPr>
                <w:sz w:val="20"/>
                <w:szCs w:val="20"/>
              </w:rPr>
            </w:pPr>
            <w:r w:rsidRPr="006C5E16">
              <w:rPr>
                <w:sz w:val="20"/>
                <w:szCs w:val="20"/>
              </w:rPr>
              <w:t>.001 (.</w:t>
            </w:r>
            <w:r w:rsidRPr="006C5E16">
              <w:rPr>
                <w:iCs/>
                <w:sz w:val="20"/>
                <w:szCs w:val="20"/>
              </w:rPr>
              <w:t>001</w:t>
            </w:r>
            <w:r w:rsidRPr="006C5E16">
              <w:rPr>
                <w:sz w:val="20"/>
                <w:szCs w:val="20"/>
              </w:rPr>
              <w:t>)</w:t>
            </w:r>
          </w:p>
        </w:tc>
        <w:tc>
          <w:tcPr>
            <w:tcW w:w="1530" w:type="dxa"/>
          </w:tcPr>
          <w:p w:rsidR="006C5E16" w:rsidRPr="006C5E16" w:rsidRDefault="006C5E16" w:rsidP="005C067C">
            <w:pPr>
              <w:jc w:val="center"/>
              <w:rPr>
                <w:sz w:val="20"/>
                <w:szCs w:val="20"/>
              </w:rPr>
            </w:pPr>
            <w:r w:rsidRPr="006C5E16">
              <w:rPr>
                <w:sz w:val="20"/>
                <w:szCs w:val="20"/>
              </w:rPr>
              <w:t>.001 (.</w:t>
            </w:r>
            <w:r w:rsidRPr="006C5E16">
              <w:rPr>
                <w:iCs/>
                <w:sz w:val="20"/>
                <w:szCs w:val="20"/>
              </w:rPr>
              <w:t>001</w:t>
            </w:r>
            <w:r w:rsidRPr="006C5E16">
              <w:rPr>
                <w:sz w:val="20"/>
                <w:szCs w:val="20"/>
              </w:rPr>
              <w:t>)</w:t>
            </w:r>
          </w:p>
        </w:tc>
        <w:tc>
          <w:tcPr>
            <w:tcW w:w="1507" w:type="dxa"/>
          </w:tcPr>
          <w:p w:rsidR="006C5E16" w:rsidRPr="006C5E16" w:rsidRDefault="00E17F6E" w:rsidP="005C067C">
            <w:pPr>
              <w:jc w:val="center"/>
              <w:rPr>
                <w:sz w:val="20"/>
                <w:szCs w:val="20"/>
              </w:rPr>
            </w:pPr>
            <w:r>
              <w:rPr>
                <w:sz w:val="20"/>
                <w:szCs w:val="20"/>
              </w:rPr>
              <w:t>.001 (.001)</w:t>
            </w:r>
          </w:p>
        </w:tc>
        <w:tc>
          <w:tcPr>
            <w:tcW w:w="1600" w:type="dxa"/>
          </w:tcPr>
          <w:p w:rsidR="006C5E16" w:rsidRPr="006C5E16" w:rsidRDefault="006C5E16" w:rsidP="005C067C">
            <w:pPr>
              <w:jc w:val="center"/>
              <w:rPr>
                <w:sz w:val="20"/>
                <w:szCs w:val="20"/>
              </w:rPr>
            </w:pPr>
            <w:r w:rsidRPr="006C5E16">
              <w:rPr>
                <w:sz w:val="20"/>
                <w:szCs w:val="20"/>
              </w:rPr>
              <w:t>.001 (.</w:t>
            </w:r>
            <w:r w:rsidRPr="006C5E16">
              <w:rPr>
                <w:iCs/>
                <w:sz w:val="20"/>
                <w:szCs w:val="20"/>
              </w:rPr>
              <w:t>001</w:t>
            </w:r>
            <w:r w:rsidRPr="006C5E16">
              <w:rPr>
                <w:sz w:val="20"/>
                <w:szCs w:val="20"/>
              </w:rPr>
              <w:t>)</w:t>
            </w:r>
          </w:p>
        </w:tc>
      </w:tr>
      <w:tr w:rsidR="006C5E16" w:rsidRPr="006C5E16">
        <w:tc>
          <w:tcPr>
            <w:tcW w:w="3258" w:type="dxa"/>
          </w:tcPr>
          <w:p w:rsidR="006C5E16" w:rsidRPr="006C5E16" w:rsidRDefault="006C5E16" w:rsidP="006E6134">
            <w:pPr>
              <w:rPr>
                <w:sz w:val="20"/>
                <w:szCs w:val="20"/>
              </w:rPr>
            </w:pPr>
            <w:r w:rsidRPr="006C5E16">
              <w:rPr>
                <w:sz w:val="20"/>
                <w:szCs w:val="20"/>
              </w:rPr>
              <w:t xml:space="preserve">Civil War </w:t>
            </w:r>
          </w:p>
        </w:tc>
        <w:tc>
          <w:tcPr>
            <w:tcW w:w="2070" w:type="dxa"/>
          </w:tcPr>
          <w:p w:rsidR="006C5E16" w:rsidRPr="006C5E16" w:rsidRDefault="006C5E16" w:rsidP="005C067C">
            <w:pPr>
              <w:jc w:val="center"/>
              <w:rPr>
                <w:sz w:val="20"/>
                <w:szCs w:val="20"/>
              </w:rPr>
            </w:pPr>
            <w:r w:rsidRPr="006C5E16">
              <w:rPr>
                <w:sz w:val="20"/>
                <w:szCs w:val="20"/>
              </w:rPr>
              <w:t>.909 (.</w:t>
            </w:r>
            <w:r w:rsidRPr="006C5E16">
              <w:rPr>
                <w:iCs/>
                <w:sz w:val="20"/>
                <w:szCs w:val="20"/>
              </w:rPr>
              <w:t>235</w:t>
            </w:r>
            <w:r w:rsidRPr="006C5E16">
              <w:rPr>
                <w:sz w:val="20"/>
                <w:szCs w:val="20"/>
              </w:rPr>
              <w:t>)***</w:t>
            </w:r>
          </w:p>
        </w:tc>
        <w:tc>
          <w:tcPr>
            <w:tcW w:w="1530" w:type="dxa"/>
          </w:tcPr>
          <w:p w:rsidR="006C5E16" w:rsidRPr="006C5E16" w:rsidRDefault="006C5E16" w:rsidP="005C067C">
            <w:pPr>
              <w:jc w:val="center"/>
              <w:rPr>
                <w:sz w:val="20"/>
                <w:szCs w:val="20"/>
              </w:rPr>
            </w:pPr>
            <w:r w:rsidRPr="006C5E16">
              <w:rPr>
                <w:sz w:val="20"/>
                <w:szCs w:val="20"/>
              </w:rPr>
              <w:t>.995 (.</w:t>
            </w:r>
            <w:r w:rsidRPr="006C5E16">
              <w:rPr>
                <w:iCs/>
                <w:sz w:val="20"/>
                <w:szCs w:val="20"/>
              </w:rPr>
              <w:t>228</w:t>
            </w:r>
            <w:r w:rsidRPr="006C5E16">
              <w:rPr>
                <w:sz w:val="20"/>
                <w:szCs w:val="20"/>
              </w:rPr>
              <w:t>)***</w:t>
            </w:r>
          </w:p>
        </w:tc>
        <w:tc>
          <w:tcPr>
            <w:tcW w:w="1507" w:type="dxa"/>
          </w:tcPr>
          <w:p w:rsidR="006C5E16" w:rsidRPr="006C5E16" w:rsidRDefault="00E17F6E" w:rsidP="001D391C">
            <w:pPr>
              <w:jc w:val="center"/>
              <w:rPr>
                <w:sz w:val="20"/>
                <w:szCs w:val="20"/>
              </w:rPr>
            </w:pPr>
            <w:r>
              <w:rPr>
                <w:sz w:val="20"/>
                <w:szCs w:val="20"/>
              </w:rPr>
              <w:t>.</w:t>
            </w:r>
            <w:r w:rsidR="001D391C">
              <w:rPr>
                <w:sz w:val="20"/>
                <w:szCs w:val="20"/>
              </w:rPr>
              <w:t>902</w:t>
            </w:r>
            <w:r>
              <w:rPr>
                <w:sz w:val="20"/>
                <w:szCs w:val="20"/>
              </w:rPr>
              <w:t xml:space="preserve"> (.233)**</w:t>
            </w:r>
            <w:r w:rsidR="001D391C">
              <w:rPr>
                <w:sz w:val="20"/>
                <w:szCs w:val="20"/>
              </w:rPr>
              <w:t>*</w:t>
            </w:r>
          </w:p>
        </w:tc>
        <w:tc>
          <w:tcPr>
            <w:tcW w:w="1600" w:type="dxa"/>
          </w:tcPr>
          <w:p w:rsidR="006C5E16" w:rsidRPr="006C5E16" w:rsidRDefault="006C5E16" w:rsidP="005C067C">
            <w:pPr>
              <w:jc w:val="center"/>
              <w:rPr>
                <w:sz w:val="20"/>
                <w:szCs w:val="20"/>
              </w:rPr>
            </w:pPr>
            <w:r w:rsidRPr="006C5E16">
              <w:rPr>
                <w:sz w:val="20"/>
                <w:szCs w:val="20"/>
              </w:rPr>
              <w:t>.884 (.</w:t>
            </w:r>
            <w:r w:rsidRPr="006C5E16">
              <w:rPr>
                <w:iCs/>
                <w:sz w:val="20"/>
                <w:szCs w:val="20"/>
              </w:rPr>
              <w:t>238</w:t>
            </w:r>
            <w:r w:rsidRPr="006C5E16">
              <w:rPr>
                <w:sz w:val="20"/>
                <w:szCs w:val="20"/>
              </w:rPr>
              <w:t>)***</w:t>
            </w:r>
          </w:p>
        </w:tc>
      </w:tr>
      <w:tr w:rsidR="006C5E16" w:rsidRPr="006C5E16">
        <w:tc>
          <w:tcPr>
            <w:tcW w:w="3258" w:type="dxa"/>
          </w:tcPr>
          <w:p w:rsidR="006C5E16" w:rsidRPr="006C5E16" w:rsidRDefault="006C5E16" w:rsidP="006E6134">
            <w:pPr>
              <w:rPr>
                <w:sz w:val="20"/>
                <w:szCs w:val="20"/>
              </w:rPr>
            </w:pPr>
            <w:r w:rsidRPr="006C5E16">
              <w:rPr>
                <w:sz w:val="20"/>
                <w:szCs w:val="20"/>
              </w:rPr>
              <w:t>International War</w:t>
            </w:r>
          </w:p>
        </w:tc>
        <w:tc>
          <w:tcPr>
            <w:tcW w:w="2070" w:type="dxa"/>
          </w:tcPr>
          <w:p w:rsidR="006C5E16" w:rsidRPr="006C5E16" w:rsidRDefault="006C5E16" w:rsidP="005C067C">
            <w:pPr>
              <w:jc w:val="center"/>
              <w:rPr>
                <w:sz w:val="20"/>
                <w:szCs w:val="20"/>
              </w:rPr>
            </w:pPr>
            <w:r w:rsidRPr="006C5E16">
              <w:rPr>
                <w:sz w:val="20"/>
                <w:szCs w:val="20"/>
              </w:rPr>
              <w:t>-.461 (.</w:t>
            </w:r>
            <w:r w:rsidRPr="006C5E16">
              <w:rPr>
                <w:iCs/>
                <w:sz w:val="20"/>
                <w:szCs w:val="20"/>
              </w:rPr>
              <w:t>564</w:t>
            </w:r>
            <w:r w:rsidRPr="006C5E16">
              <w:rPr>
                <w:sz w:val="20"/>
                <w:szCs w:val="20"/>
              </w:rPr>
              <w:t>)</w:t>
            </w:r>
          </w:p>
        </w:tc>
        <w:tc>
          <w:tcPr>
            <w:tcW w:w="1530" w:type="dxa"/>
          </w:tcPr>
          <w:p w:rsidR="006C5E16" w:rsidRPr="006C5E16" w:rsidRDefault="006C5E16" w:rsidP="005C067C">
            <w:pPr>
              <w:jc w:val="center"/>
              <w:rPr>
                <w:sz w:val="20"/>
                <w:szCs w:val="20"/>
              </w:rPr>
            </w:pPr>
            <w:r w:rsidRPr="006C5E16">
              <w:rPr>
                <w:sz w:val="20"/>
                <w:szCs w:val="20"/>
              </w:rPr>
              <w:t>-.503 (.</w:t>
            </w:r>
            <w:r w:rsidRPr="006C5E16">
              <w:rPr>
                <w:iCs/>
                <w:sz w:val="20"/>
                <w:szCs w:val="20"/>
              </w:rPr>
              <w:t>677</w:t>
            </w:r>
            <w:r w:rsidRPr="006C5E16">
              <w:rPr>
                <w:sz w:val="20"/>
                <w:szCs w:val="20"/>
              </w:rPr>
              <w:t>)</w:t>
            </w:r>
          </w:p>
        </w:tc>
        <w:tc>
          <w:tcPr>
            <w:tcW w:w="1507" w:type="dxa"/>
          </w:tcPr>
          <w:p w:rsidR="006C5E16" w:rsidRPr="006C5E16" w:rsidRDefault="00E17F6E" w:rsidP="001D391C">
            <w:pPr>
              <w:jc w:val="center"/>
              <w:rPr>
                <w:sz w:val="20"/>
                <w:szCs w:val="20"/>
              </w:rPr>
            </w:pPr>
            <w:r>
              <w:rPr>
                <w:sz w:val="20"/>
                <w:szCs w:val="20"/>
              </w:rPr>
              <w:t>-.</w:t>
            </w:r>
            <w:r w:rsidR="001D391C">
              <w:rPr>
                <w:sz w:val="20"/>
                <w:szCs w:val="20"/>
              </w:rPr>
              <w:t>513</w:t>
            </w:r>
            <w:r>
              <w:rPr>
                <w:sz w:val="20"/>
                <w:szCs w:val="20"/>
              </w:rPr>
              <w:t xml:space="preserve"> (.</w:t>
            </w:r>
            <w:r w:rsidR="001D391C">
              <w:rPr>
                <w:sz w:val="20"/>
                <w:szCs w:val="20"/>
              </w:rPr>
              <w:t>633</w:t>
            </w:r>
            <w:r>
              <w:rPr>
                <w:sz w:val="20"/>
                <w:szCs w:val="20"/>
              </w:rPr>
              <w:t>)</w:t>
            </w:r>
          </w:p>
        </w:tc>
        <w:tc>
          <w:tcPr>
            <w:tcW w:w="1600" w:type="dxa"/>
          </w:tcPr>
          <w:p w:rsidR="006C5E16" w:rsidRPr="006C5E16" w:rsidRDefault="006C5E16" w:rsidP="005C067C">
            <w:pPr>
              <w:jc w:val="center"/>
              <w:rPr>
                <w:sz w:val="20"/>
                <w:szCs w:val="20"/>
              </w:rPr>
            </w:pPr>
            <w:r w:rsidRPr="006C5E16">
              <w:rPr>
                <w:sz w:val="20"/>
                <w:szCs w:val="20"/>
              </w:rPr>
              <w:t>-.491 (.</w:t>
            </w:r>
            <w:r w:rsidRPr="006C5E16">
              <w:rPr>
                <w:iCs/>
                <w:sz w:val="20"/>
                <w:szCs w:val="20"/>
              </w:rPr>
              <w:t>571</w:t>
            </w:r>
            <w:r w:rsidRPr="006C5E16">
              <w:rPr>
                <w:sz w:val="20"/>
                <w:szCs w:val="20"/>
              </w:rPr>
              <w:t>)</w:t>
            </w:r>
          </w:p>
        </w:tc>
      </w:tr>
      <w:tr w:rsidR="006C5E16" w:rsidRPr="006C5E16">
        <w:tc>
          <w:tcPr>
            <w:tcW w:w="3258" w:type="dxa"/>
          </w:tcPr>
          <w:p w:rsidR="006C5E16" w:rsidRPr="006C5E16" w:rsidRDefault="006C5E16" w:rsidP="005C067C">
            <w:pPr>
              <w:rPr>
                <w:sz w:val="20"/>
                <w:szCs w:val="20"/>
              </w:rPr>
            </w:pPr>
            <w:r w:rsidRPr="006C5E16">
              <w:rPr>
                <w:sz w:val="20"/>
                <w:szCs w:val="20"/>
              </w:rPr>
              <w:t>CAT Signatory</w:t>
            </w:r>
          </w:p>
        </w:tc>
        <w:tc>
          <w:tcPr>
            <w:tcW w:w="2070" w:type="dxa"/>
          </w:tcPr>
          <w:p w:rsidR="006C5E16" w:rsidRPr="006C5E16" w:rsidRDefault="006C5E16" w:rsidP="005C067C">
            <w:pPr>
              <w:jc w:val="center"/>
              <w:rPr>
                <w:sz w:val="20"/>
                <w:szCs w:val="20"/>
              </w:rPr>
            </w:pPr>
            <w:r w:rsidRPr="006C5E16">
              <w:rPr>
                <w:sz w:val="20"/>
                <w:szCs w:val="20"/>
              </w:rPr>
              <w:t>.535 (.</w:t>
            </w:r>
            <w:r w:rsidRPr="006C5E16">
              <w:rPr>
                <w:iCs/>
                <w:sz w:val="20"/>
                <w:szCs w:val="20"/>
              </w:rPr>
              <w:t>303</w:t>
            </w:r>
            <w:r w:rsidRPr="006C5E16">
              <w:rPr>
                <w:sz w:val="20"/>
                <w:szCs w:val="20"/>
              </w:rPr>
              <w:t>)*</w:t>
            </w:r>
          </w:p>
        </w:tc>
        <w:tc>
          <w:tcPr>
            <w:tcW w:w="1530" w:type="dxa"/>
          </w:tcPr>
          <w:p w:rsidR="006C5E16" w:rsidRPr="006C5E16" w:rsidRDefault="006C5E16" w:rsidP="005C067C">
            <w:pPr>
              <w:jc w:val="center"/>
              <w:rPr>
                <w:sz w:val="20"/>
                <w:szCs w:val="20"/>
              </w:rPr>
            </w:pPr>
            <w:r w:rsidRPr="006C5E16">
              <w:rPr>
                <w:sz w:val="20"/>
                <w:szCs w:val="20"/>
              </w:rPr>
              <w:t>.505 (.</w:t>
            </w:r>
            <w:r w:rsidRPr="006C5E16">
              <w:rPr>
                <w:iCs/>
                <w:sz w:val="20"/>
                <w:szCs w:val="20"/>
              </w:rPr>
              <w:t>305</w:t>
            </w:r>
            <w:r w:rsidRPr="006C5E16">
              <w:rPr>
                <w:sz w:val="20"/>
                <w:szCs w:val="20"/>
              </w:rPr>
              <w:t>)*</w:t>
            </w:r>
          </w:p>
        </w:tc>
        <w:tc>
          <w:tcPr>
            <w:tcW w:w="1507" w:type="dxa"/>
          </w:tcPr>
          <w:p w:rsidR="006C5E16" w:rsidRPr="006C5E16" w:rsidRDefault="00E17F6E" w:rsidP="001D391C">
            <w:pPr>
              <w:jc w:val="center"/>
              <w:rPr>
                <w:sz w:val="20"/>
                <w:szCs w:val="20"/>
              </w:rPr>
            </w:pPr>
            <w:r>
              <w:rPr>
                <w:sz w:val="20"/>
                <w:szCs w:val="20"/>
              </w:rPr>
              <w:t>.</w:t>
            </w:r>
            <w:r w:rsidR="001D391C">
              <w:rPr>
                <w:sz w:val="20"/>
                <w:szCs w:val="20"/>
              </w:rPr>
              <w:t>505</w:t>
            </w:r>
            <w:r>
              <w:rPr>
                <w:sz w:val="20"/>
                <w:szCs w:val="20"/>
              </w:rPr>
              <w:t xml:space="preserve"> (.</w:t>
            </w:r>
            <w:r w:rsidR="001D391C">
              <w:rPr>
                <w:sz w:val="20"/>
                <w:szCs w:val="20"/>
              </w:rPr>
              <w:t>310</w:t>
            </w:r>
            <w:r>
              <w:rPr>
                <w:sz w:val="20"/>
                <w:szCs w:val="20"/>
              </w:rPr>
              <w:t>)</w:t>
            </w:r>
          </w:p>
        </w:tc>
        <w:tc>
          <w:tcPr>
            <w:tcW w:w="1600" w:type="dxa"/>
          </w:tcPr>
          <w:p w:rsidR="006C5E16" w:rsidRPr="006C5E16" w:rsidRDefault="006C5E16" w:rsidP="005C067C">
            <w:pPr>
              <w:jc w:val="center"/>
              <w:rPr>
                <w:sz w:val="20"/>
                <w:szCs w:val="20"/>
              </w:rPr>
            </w:pPr>
            <w:r w:rsidRPr="006C5E16">
              <w:rPr>
                <w:sz w:val="20"/>
                <w:szCs w:val="20"/>
              </w:rPr>
              <w:t>.511 (.</w:t>
            </w:r>
            <w:r w:rsidRPr="006C5E16">
              <w:rPr>
                <w:iCs/>
                <w:sz w:val="20"/>
                <w:szCs w:val="20"/>
              </w:rPr>
              <w:t>304</w:t>
            </w:r>
            <w:r w:rsidRPr="006C5E16">
              <w:rPr>
                <w:sz w:val="20"/>
                <w:szCs w:val="20"/>
              </w:rPr>
              <w:t>)*</w:t>
            </w:r>
          </w:p>
        </w:tc>
      </w:tr>
      <w:tr w:rsidR="006C5E16" w:rsidRPr="006C5E16">
        <w:tc>
          <w:tcPr>
            <w:tcW w:w="3258" w:type="dxa"/>
          </w:tcPr>
          <w:p w:rsidR="006C5E16" w:rsidRPr="006C5E16" w:rsidRDefault="006C5E16" w:rsidP="005C067C">
            <w:pPr>
              <w:rPr>
                <w:sz w:val="20"/>
                <w:szCs w:val="20"/>
              </w:rPr>
            </w:pPr>
            <w:r w:rsidRPr="006C5E16">
              <w:rPr>
                <w:sz w:val="20"/>
                <w:szCs w:val="20"/>
              </w:rPr>
              <w:t>Restricted Access</w:t>
            </w:r>
          </w:p>
        </w:tc>
        <w:tc>
          <w:tcPr>
            <w:tcW w:w="2070" w:type="dxa"/>
          </w:tcPr>
          <w:p w:rsidR="006C5E16" w:rsidRPr="006C5E16" w:rsidRDefault="006C5E16" w:rsidP="005C067C">
            <w:pPr>
              <w:jc w:val="center"/>
              <w:rPr>
                <w:sz w:val="20"/>
                <w:szCs w:val="20"/>
              </w:rPr>
            </w:pPr>
            <w:r w:rsidRPr="006C5E16">
              <w:rPr>
                <w:sz w:val="20"/>
                <w:szCs w:val="20"/>
              </w:rPr>
              <w:t>.805 (.324)**</w:t>
            </w:r>
          </w:p>
        </w:tc>
        <w:tc>
          <w:tcPr>
            <w:tcW w:w="1530" w:type="dxa"/>
          </w:tcPr>
          <w:p w:rsidR="006C5E16" w:rsidRPr="006C5E16" w:rsidRDefault="006C5E16" w:rsidP="005C067C">
            <w:pPr>
              <w:jc w:val="center"/>
              <w:rPr>
                <w:sz w:val="20"/>
                <w:szCs w:val="20"/>
              </w:rPr>
            </w:pPr>
            <w:r w:rsidRPr="006C5E16">
              <w:rPr>
                <w:sz w:val="20"/>
                <w:szCs w:val="20"/>
              </w:rPr>
              <w:t>.860(.324)***</w:t>
            </w:r>
          </w:p>
        </w:tc>
        <w:tc>
          <w:tcPr>
            <w:tcW w:w="1507" w:type="dxa"/>
          </w:tcPr>
          <w:p w:rsidR="006C5E16" w:rsidRPr="006C5E16" w:rsidRDefault="00E17F6E" w:rsidP="001D391C">
            <w:pPr>
              <w:jc w:val="center"/>
              <w:rPr>
                <w:sz w:val="20"/>
                <w:szCs w:val="20"/>
              </w:rPr>
            </w:pPr>
            <w:r>
              <w:rPr>
                <w:sz w:val="20"/>
                <w:szCs w:val="20"/>
              </w:rPr>
              <w:t>.</w:t>
            </w:r>
            <w:r w:rsidR="001D391C">
              <w:rPr>
                <w:sz w:val="20"/>
                <w:szCs w:val="20"/>
              </w:rPr>
              <w:t>855</w:t>
            </w:r>
            <w:r>
              <w:rPr>
                <w:sz w:val="20"/>
                <w:szCs w:val="20"/>
              </w:rPr>
              <w:t xml:space="preserve"> (.</w:t>
            </w:r>
            <w:r w:rsidR="001D391C">
              <w:rPr>
                <w:sz w:val="20"/>
                <w:szCs w:val="20"/>
              </w:rPr>
              <w:t>326</w:t>
            </w:r>
            <w:r>
              <w:rPr>
                <w:sz w:val="20"/>
                <w:szCs w:val="20"/>
              </w:rPr>
              <w:t>)</w:t>
            </w:r>
            <w:r w:rsidR="001D391C">
              <w:rPr>
                <w:sz w:val="20"/>
                <w:szCs w:val="20"/>
              </w:rPr>
              <w:t>**</w:t>
            </w:r>
            <w:r>
              <w:rPr>
                <w:sz w:val="20"/>
                <w:szCs w:val="20"/>
              </w:rPr>
              <w:t>*</w:t>
            </w:r>
          </w:p>
        </w:tc>
        <w:tc>
          <w:tcPr>
            <w:tcW w:w="1600" w:type="dxa"/>
          </w:tcPr>
          <w:p w:rsidR="006C5E16" w:rsidRPr="006C5E16" w:rsidRDefault="006C5E16" w:rsidP="005C067C">
            <w:pPr>
              <w:jc w:val="center"/>
              <w:rPr>
                <w:sz w:val="20"/>
                <w:szCs w:val="20"/>
              </w:rPr>
            </w:pPr>
            <w:r w:rsidRPr="006C5E16">
              <w:rPr>
                <w:sz w:val="20"/>
                <w:szCs w:val="20"/>
              </w:rPr>
              <w:t>.808 (.</w:t>
            </w:r>
            <w:r w:rsidRPr="006C5E16">
              <w:rPr>
                <w:iCs/>
                <w:sz w:val="20"/>
                <w:szCs w:val="20"/>
              </w:rPr>
              <w:t>321</w:t>
            </w:r>
            <w:r w:rsidRPr="006C5E16">
              <w:rPr>
                <w:sz w:val="20"/>
                <w:szCs w:val="20"/>
              </w:rPr>
              <w:t>)**</w:t>
            </w:r>
          </w:p>
        </w:tc>
      </w:tr>
      <w:tr w:rsidR="006C5E16" w:rsidRPr="006C5E16">
        <w:tc>
          <w:tcPr>
            <w:tcW w:w="3258" w:type="dxa"/>
          </w:tcPr>
          <w:p w:rsidR="006C5E16" w:rsidRPr="006C5E16" w:rsidRDefault="006C5E16" w:rsidP="005C067C">
            <w:pPr>
              <w:rPr>
                <w:sz w:val="20"/>
                <w:szCs w:val="20"/>
              </w:rPr>
            </w:pPr>
            <w:r w:rsidRPr="006C5E16">
              <w:rPr>
                <w:sz w:val="20"/>
                <w:szCs w:val="20"/>
              </w:rPr>
              <w:t>Domestic Dissent</w:t>
            </w:r>
          </w:p>
        </w:tc>
        <w:tc>
          <w:tcPr>
            <w:tcW w:w="2070" w:type="dxa"/>
          </w:tcPr>
          <w:p w:rsidR="006C5E16" w:rsidRPr="006C5E16" w:rsidRDefault="006C5E16" w:rsidP="005C067C">
            <w:pPr>
              <w:jc w:val="center"/>
              <w:rPr>
                <w:sz w:val="20"/>
                <w:szCs w:val="20"/>
              </w:rPr>
            </w:pPr>
            <w:r w:rsidRPr="006C5E16">
              <w:rPr>
                <w:sz w:val="20"/>
                <w:szCs w:val="20"/>
              </w:rPr>
              <w:t>1.104 (.209)***</w:t>
            </w:r>
          </w:p>
        </w:tc>
        <w:tc>
          <w:tcPr>
            <w:tcW w:w="1530" w:type="dxa"/>
          </w:tcPr>
          <w:p w:rsidR="006C5E16" w:rsidRPr="006C5E16" w:rsidRDefault="006C5E16" w:rsidP="005C067C">
            <w:pPr>
              <w:jc w:val="center"/>
              <w:rPr>
                <w:sz w:val="20"/>
                <w:szCs w:val="20"/>
              </w:rPr>
            </w:pPr>
            <w:r w:rsidRPr="006C5E16">
              <w:rPr>
                <w:sz w:val="20"/>
                <w:szCs w:val="20"/>
              </w:rPr>
              <w:t>1.064(.198)***</w:t>
            </w:r>
          </w:p>
        </w:tc>
        <w:tc>
          <w:tcPr>
            <w:tcW w:w="1507" w:type="dxa"/>
          </w:tcPr>
          <w:p w:rsidR="006C5E16" w:rsidRPr="006C5E16" w:rsidRDefault="00E17F6E" w:rsidP="001D391C">
            <w:pPr>
              <w:jc w:val="center"/>
              <w:rPr>
                <w:sz w:val="20"/>
                <w:szCs w:val="20"/>
              </w:rPr>
            </w:pPr>
            <w:r>
              <w:rPr>
                <w:sz w:val="20"/>
                <w:szCs w:val="20"/>
              </w:rPr>
              <w:t>1.</w:t>
            </w:r>
            <w:r w:rsidR="001D391C">
              <w:rPr>
                <w:sz w:val="20"/>
                <w:szCs w:val="20"/>
              </w:rPr>
              <w:t>036</w:t>
            </w:r>
            <w:r>
              <w:rPr>
                <w:sz w:val="20"/>
                <w:szCs w:val="20"/>
              </w:rPr>
              <w:t xml:space="preserve"> (.</w:t>
            </w:r>
            <w:r w:rsidR="001D391C">
              <w:rPr>
                <w:sz w:val="20"/>
                <w:szCs w:val="20"/>
              </w:rPr>
              <w:t>200</w:t>
            </w:r>
            <w:r>
              <w:rPr>
                <w:sz w:val="20"/>
                <w:szCs w:val="20"/>
              </w:rPr>
              <w:t>)***</w:t>
            </w:r>
          </w:p>
        </w:tc>
        <w:tc>
          <w:tcPr>
            <w:tcW w:w="1600" w:type="dxa"/>
          </w:tcPr>
          <w:p w:rsidR="006C5E16" w:rsidRPr="006C5E16" w:rsidRDefault="006C5E16" w:rsidP="005C067C">
            <w:pPr>
              <w:jc w:val="center"/>
              <w:rPr>
                <w:sz w:val="20"/>
                <w:szCs w:val="20"/>
              </w:rPr>
            </w:pPr>
            <w:r w:rsidRPr="006C5E16">
              <w:rPr>
                <w:sz w:val="20"/>
                <w:szCs w:val="20"/>
              </w:rPr>
              <w:t>1.088 (.</w:t>
            </w:r>
            <w:r w:rsidRPr="006C5E16">
              <w:rPr>
                <w:iCs/>
                <w:sz w:val="20"/>
                <w:szCs w:val="20"/>
              </w:rPr>
              <w:t>209</w:t>
            </w:r>
            <w:r w:rsidRPr="006C5E16">
              <w:rPr>
                <w:sz w:val="20"/>
                <w:szCs w:val="20"/>
              </w:rPr>
              <w:t>)***</w:t>
            </w:r>
          </w:p>
        </w:tc>
      </w:tr>
      <w:tr w:rsidR="006C5E16" w:rsidRPr="006C5E16">
        <w:tc>
          <w:tcPr>
            <w:tcW w:w="3258" w:type="dxa"/>
          </w:tcPr>
          <w:p w:rsidR="006C5E16" w:rsidRPr="006C5E16" w:rsidRDefault="006C5E16" w:rsidP="005C067C">
            <w:pPr>
              <w:rPr>
                <w:sz w:val="20"/>
                <w:szCs w:val="20"/>
              </w:rPr>
            </w:pPr>
          </w:p>
        </w:tc>
        <w:tc>
          <w:tcPr>
            <w:tcW w:w="2070" w:type="dxa"/>
          </w:tcPr>
          <w:p w:rsidR="006C5E16" w:rsidRPr="006C5E16" w:rsidRDefault="006C5E16" w:rsidP="005C067C">
            <w:pPr>
              <w:jc w:val="center"/>
              <w:rPr>
                <w:sz w:val="20"/>
                <w:szCs w:val="20"/>
              </w:rPr>
            </w:pPr>
          </w:p>
        </w:tc>
        <w:tc>
          <w:tcPr>
            <w:tcW w:w="1530" w:type="dxa"/>
          </w:tcPr>
          <w:p w:rsidR="006C5E16" w:rsidRPr="006C5E16" w:rsidRDefault="006C5E16" w:rsidP="005C067C">
            <w:pPr>
              <w:rPr>
                <w:sz w:val="20"/>
                <w:szCs w:val="20"/>
              </w:rPr>
            </w:pPr>
          </w:p>
        </w:tc>
        <w:tc>
          <w:tcPr>
            <w:tcW w:w="1507" w:type="dxa"/>
          </w:tcPr>
          <w:p w:rsidR="006C5E16" w:rsidRPr="006C5E16" w:rsidRDefault="006C5E16" w:rsidP="005C067C">
            <w:pPr>
              <w:rPr>
                <w:sz w:val="20"/>
                <w:szCs w:val="20"/>
              </w:rPr>
            </w:pPr>
          </w:p>
        </w:tc>
        <w:tc>
          <w:tcPr>
            <w:tcW w:w="1600" w:type="dxa"/>
          </w:tcPr>
          <w:p w:rsidR="006C5E16" w:rsidRPr="006C5E16" w:rsidRDefault="006C5E16" w:rsidP="005C067C">
            <w:pPr>
              <w:rPr>
                <w:sz w:val="20"/>
                <w:szCs w:val="20"/>
              </w:rPr>
            </w:pPr>
          </w:p>
        </w:tc>
      </w:tr>
      <w:tr w:rsidR="006C5E16" w:rsidRPr="006C5E16">
        <w:tc>
          <w:tcPr>
            <w:tcW w:w="3258" w:type="dxa"/>
          </w:tcPr>
          <w:p w:rsidR="006C5E16" w:rsidRPr="006C5E16" w:rsidRDefault="006C5E16" w:rsidP="005C067C">
            <w:pPr>
              <w:rPr>
                <w:sz w:val="20"/>
                <w:szCs w:val="20"/>
              </w:rPr>
            </w:pPr>
            <w:r w:rsidRPr="006C5E16">
              <w:rPr>
                <w:sz w:val="20"/>
                <w:szCs w:val="20"/>
              </w:rPr>
              <w:t>Observations</w:t>
            </w:r>
          </w:p>
        </w:tc>
        <w:tc>
          <w:tcPr>
            <w:tcW w:w="2070" w:type="dxa"/>
          </w:tcPr>
          <w:p w:rsidR="006C5E16" w:rsidRPr="006C5E16" w:rsidRDefault="006C5E16" w:rsidP="005C067C">
            <w:pPr>
              <w:jc w:val="center"/>
              <w:rPr>
                <w:sz w:val="20"/>
                <w:szCs w:val="20"/>
              </w:rPr>
            </w:pPr>
            <w:r w:rsidRPr="006C5E16">
              <w:rPr>
                <w:sz w:val="20"/>
                <w:szCs w:val="20"/>
              </w:rPr>
              <w:t>1,240</w:t>
            </w:r>
          </w:p>
        </w:tc>
        <w:tc>
          <w:tcPr>
            <w:tcW w:w="1530" w:type="dxa"/>
          </w:tcPr>
          <w:p w:rsidR="006C5E16" w:rsidRPr="006C5E16" w:rsidRDefault="006C5E16" w:rsidP="005C067C">
            <w:pPr>
              <w:jc w:val="center"/>
              <w:rPr>
                <w:sz w:val="20"/>
                <w:szCs w:val="20"/>
              </w:rPr>
            </w:pPr>
            <w:r w:rsidRPr="006C5E16">
              <w:rPr>
                <w:sz w:val="20"/>
                <w:szCs w:val="20"/>
              </w:rPr>
              <w:t>1,237</w:t>
            </w:r>
          </w:p>
        </w:tc>
        <w:tc>
          <w:tcPr>
            <w:tcW w:w="1507" w:type="dxa"/>
          </w:tcPr>
          <w:p w:rsidR="006C5E16" w:rsidRPr="006C5E16" w:rsidRDefault="00E17F6E" w:rsidP="001D391C">
            <w:pPr>
              <w:jc w:val="center"/>
              <w:rPr>
                <w:sz w:val="20"/>
                <w:szCs w:val="20"/>
              </w:rPr>
            </w:pPr>
            <w:r>
              <w:rPr>
                <w:sz w:val="20"/>
                <w:szCs w:val="20"/>
              </w:rPr>
              <w:t>1,</w:t>
            </w:r>
            <w:r w:rsidR="001D391C">
              <w:rPr>
                <w:sz w:val="20"/>
                <w:szCs w:val="20"/>
              </w:rPr>
              <w:t>237</w:t>
            </w:r>
          </w:p>
        </w:tc>
        <w:tc>
          <w:tcPr>
            <w:tcW w:w="1600" w:type="dxa"/>
          </w:tcPr>
          <w:p w:rsidR="006C5E16" w:rsidRPr="006C5E16" w:rsidRDefault="006C5E16" w:rsidP="005C067C">
            <w:pPr>
              <w:jc w:val="center"/>
              <w:rPr>
                <w:sz w:val="20"/>
                <w:szCs w:val="20"/>
              </w:rPr>
            </w:pPr>
            <w:r w:rsidRPr="006C5E16">
              <w:rPr>
                <w:sz w:val="20"/>
                <w:szCs w:val="20"/>
              </w:rPr>
              <w:t>1,238</w:t>
            </w:r>
          </w:p>
        </w:tc>
      </w:tr>
      <w:tr w:rsidR="006C5E16" w:rsidRPr="006C5E16">
        <w:tc>
          <w:tcPr>
            <w:tcW w:w="3258" w:type="dxa"/>
          </w:tcPr>
          <w:p w:rsidR="006C5E16" w:rsidRPr="006C5E16" w:rsidRDefault="006C5E16" w:rsidP="005C067C">
            <w:pPr>
              <w:rPr>
                <w:sz w:val="20"/>
                <w:szCs w:val="20"/>
              </w:rPr>
            </w:pPr>
            <w:r w:rsidRPr="006C5E16">
              <w:rPr>
                <w:sz w:val="20"/>
                <w:szCs w:val="20"/>
              </w:rPr>
              <w:t>Wald χ</w:t>
            </w:r>
            <w:r w:rsidRPr="006C5E16">
              <w:rPr>
                <w:sz w:val="20"/>
                <w:szCs w:val="20"/>
                <w:vertAlign w:val="superscript"/>
              </w:rPr>
              <w:t>2</w:t>
            </w:r>
          </w:p>
        </w:tc>
        <w:tc>
          <w:tcPr>
            <w:tcW w:w="2070" w:type="dxa"/>
          </w:tcPr>
          <w:p w:rsidR="006C5E16" w:rsidRPr="006C5E16" w:rsidRDefault="006C5E16" w:rsidP="005C067C">
            <w:pPr>
              <w:jc w:val="center"/>
              <w:rPr>
                <w:sz w:val="20"/>
                <w:szCs w:val="20"/>
              </w:rPr>
            </w:pPr>
            <w:r w:rsidRPr="006C5E16">
              <w:rPr>
                <w:sz w:val="20"/>
                <w:szCs w:val="20"/>
              </w:rPr>
              <w:t>125.10***</w:t>
            </w:r>
          </w:p>
        </w:tc>
        <w:tc>
          <w:tcPr>
            <w:tcW w:w="1530" w:type="dxa"/>
          </w:tcPr>
          <w:p w:rsidR="006C5E16" w:rsidRPr="006C5E16" w:rsidRDefault="006C5E16" w:rsidP="005C067C">
            <w:pPr>
              <w:jc w:val="center"/>
              <w:rPr>
                <w:sz w:val="20"/>
                <w:szCs w:val="20"/>
              </w:rPr>
            </w:pPr>
            <w:r w:rsidRPr="006C5E16">
              <w:rPr>
                <w:sz w:val="20"/>
                <w:szCs w:val="20"/>
              </w:rPr>
              <w:t>118.00***</w:t>
            </w:r>
          </w:p>
        </w:tc>
        <w:tc>
          <w:tcPr>
            <w:tcW w:w="1507" w:type="dxa"/>
          </w:tcPr>
          <w:p w:rsidR="006C5E16" w:rsidRPr="006C5E16" w:rsidRDefault="001D391C" w:rsidP="005C067C">
            <w:pPr>
              <w:jc w:val="center"/>
              <w:rPr>
                <w:sz w:val="20"/>
                <w:szCs w:val="20"/>
              </w:rPr>
            </w:pPr>
            <w:r>
              <w:rPr>
                <w:sz w:val="20"/>
                <w:szCs w:val="20"/>
              </w:rPr>
              <w:t>123.34</w:t>
            </w:r>
            <w:r w:rsidR="00E17F6E">
              <w:rPr>
                <w:sz w:val="20"/>
                <w:szCs w:val="20"/>
              </w:rPr>
              <w:t>***</w:t>
            </w:r>
          </w:p>
        </w:tc>
        <w:tc>
          <w:tcPr>
            <w:tcW w:w="1600" w:type="dxa"/>
          </w:tcPr>
          <w:p w:rsidR="006C5E16" w:rsidRPr="006C5E16" w:rsidRDefault="006C5E16" w:rsidP="005C067C">
            <w:pPr>
              <w:jc w:val="center"/>
              <w:rPr>
                <w:sz w:val="20"/>
                <w:szCs w:val="20"/>
              </w:rPr>
            </w:pPr>
            <w:r w:rsidRPr="006C5E16">
              <w:rPr>
                <w:sz w:val="20"/>
                <w:szCs w:val="20"/>
              </w:rPr>
              <w:t>122.91***</w:t>
            </w:r>
          </w:p>
        </w:tc>
      </w:tr>
      <w:tr w:rsidR="006C5E16" w:rsidRPr="006C5E16">
        <w:tc>
          <w:tcPr>
            <w:tcW w:w="3258" w:type="dxa"/>
          </w:tcPr>
          <w:p w:rsidR="006C5E16" w:rsidRPr="006C5E16" w:rsidRDefault="006C5E16" w:rsidP="005C067C">
            <w:pPr>
              <w:rPr>
                <w:sz w:val="20"/>
                <w:szCs w:val="20"/>
              </w:rPr>
            </w:pPr>
            <w:r w:rsidRPr="006C5E16">
              <w:rPr>
                <w:sz w:val="20"/>
                <w:szCs w:val="20"/>
              </w:rPr>
              <w:t>Pseudo R</w:t>
            </w:r>
            <w:r w:rsidRPr="006C5E16">
              <w:rPr>
                <w:sz w:val="20"/>
                <w:szCs w:val="20"/>
                <w:vertAlign w:val="superscript"/>
              </w:rPr>
              <w:t>2</w:t>
            </w:r>
          </w:p>
        </w:tc>
        <w:tc>
          <w:tcPr>
            <w:tcW w:w="2070" w:type="dxa"/>
          </w:tcPr>
          <w:p w:rsidR="006C5E16" w:rsidRPr="006C5E16" w:rsidRDefault="006C5E16" w:rsidP="005C067C">
            <w:pPr>
              <w:jc w:val="center"/>
              <w:rPr>
                <w:sz w:val="20"/>
                <w:szCs w:val="20"/>
              </w:rPr>
            </w:pPr>
            <w:r w:rsidRPr="006C5E16">
              <w:rPr>
                <w:sz w:val="20"/>
                <w:szCs w:val="20"/>
              </w:rPr>
              <w:t>.106</w:t>
            </w:r>
          </w:p>
        </w:tc>
        <w:tc>
          <w:tcPr>
            <w:tcW w:w="1530" w:type="dxa"/>
          </w:tcPr>
          <w:p w:rsidR="006C5E16" w:rsidRPr="006C5E16" w:rsidRDefault="006C5E16" w:rsidP="005C067C">
            <w:pPr>
              <w:jc w:val="center"/>
              <w:rPr>
                <w:sz w:val="20"/>
                <w:szCs w:val="20"/>
              </w:rPr>
            </w:pPr>
            <w:r w:rsidRPr="006C5E16">
              <w:rPr>
                <w:sz w:val="20"/>
                <w:szCs w:val="20"/>
              </w:rPr>
              <w:t>.110</w:t>
            </w:r>
          </w:p>
        </w:tc>
        <w:tc>
          <w:tcPr>
            <w:tcW w:w="1507" w:type="dxa"/>
          </w:tcPr>
          <w:p w:rsidR="006C5E16" w:rsidRPr="006C5E16" w:rsidRDefault="00E17F6E" w:rsidP="001D391C">
            <w:pPr>
              <w:jc w:val="center"/>
              <w:rPr>
                <w:sz w:val="20"/>
                <w:szCs w:val="20"/>
              </w:rPr>
            </w:pPr>
            <w:r>
              <w:rPr>
                <w:sz w:val="20"/>
                <w:szCs w:val="20"/>
              </w:rPr>
              <w:t>.</w:t>
            </w:r>
            <w:r w:rsidR="001D391C">
              <w:rPr>
                <w:sz w:val="20"/>
                <w:szCs w:val="20"/>
              </w:rPr>
              <w:t>112</w:t>
            </w:r>
          </w:p>
        </w:tc>
        <w:tc>
          <w:tcPr>
            <w:tcW w:w="1600" w:type="dxa"/>
          </w:tcPr>
          <w:p w:rsidR="006C5E16" w:rsidRPr="006C5E16" w:rsidRDefault="006C5E16" w:rsidP="005C067C">
            <w:pPr>
              <w:jc w:val="center"/>
              <w:rPr>
                <w:sz w:val="20"/>
                <w:szCs w:val="20"/>
              </w:rPr>
            </w:pPr>
            <w:r w:rsidRPr="006C5E16">
              <w:rPr>
                <w:sz w:val="20"/>
                <w:szCs w:val="20"/>
              </w:rPr>
              <w:t>.108</w:t>
            </w:r>
          </w:p>
        </w:tc>
      </w:tr>
      <w:tr w:rsidR="006C5E16" w:rsidRPr="006C5E16">
        <w:tc>
          <w:tcPr>
            <w:tcW w:w="3258" w:type="dxa"/>
          </w:tcPr>
          <w:p w:rsidR="006C5E16" w:rsidRPr="006C5E16" w:rsidRDefault="006C5E16" w:rsidP="005C067C">
            <w:pPr>
              <w:rPr>
                <w:sz w:val="20"/>
                <w:szCs w:val="20"/>
              </w:rPr>
            </w:pPr>
          </w:p>
        </w:tc>
        <w:tc>
          <w:tcPr>
            <w:tcW w:w="2070" w:type="dxa"/>
          </w:tcPr>
          <w:p w:rsidR="006C5E16" w:rsidRPr="006C5E16" w:rsidRDefault="006C5E16" w:rsidP="005C067C">
            <w:pPr>
              <w:jc w:val="center"/>
              <w:rPr>
                <w:sz w:val="20"/>
                <w:szCs w:val="20"/>
              </w:rPr>
            </w:pPr>
          </w:p>
        </w:tc>
        <w:tc>
          <w:tcPr>
            <w:tcW w:w="1530" w:type="dxa"/>
          </w:tcPr>
          <w:p w:rsidR="006C5E16" w:rsidRPr="006C5E16" w:rsidRDefault="006C5E16" w:rsidP="005C067C">
            <w:pPr>
              <w:jc w:val="center"/>
              <w:rPr>
                <w:sz w:val="20"/>
                <w:szCs w:val="20"/>
              </w:rPr>
            </w:pPr>
          </w:p>
        </w:tc>
        <w:tc>
          <w:tcPr>
            <w:tcW w:w="1507" w:type="dxa"/>
          </w:tcPr>
          <w:p w:rsidR="006C5E16" w:rsidRPr="006C5E16" w:rsidRDefault="006C5E16" w:rsidP="005C067C">
            <w:pPr>
              <w:jc w:val="center"/>
              <w:rPr>
                <w:sz w:val="20"/>
                <w:szCs w:val="20"/>
              </w:rPr>
            </w:pPr>
          </w:p>
        </w:tc>
        <w:tc>
          <w:tcPr>
            <w:tcW w:w="1600" w:type="dxa"/>
          </w:tcPr>
          <w:p w:rsidR="006C5E16" w:rsidRPr="006C5E16" w:rsidRDefault="006C5E16" w:rsidP="005C067C">
            <w:pPr>
              <w:jc w:val="center"/>
              <w:rPr>
                <w:sz w:val="20"/>
                <w:szCs w:val="20"/>
              </w:rPr>
            </w:pPr>
          </w:p>
        </w:tc>
      </w:tr>
      <w:tr w:rsidR="006C5E16" w:rsidRPr="006C5E16">
        <w:tc>
          <w:tcPr>
            <w:tcW w:w="3258" w:type="dxa"/>
          </w:tcPr>
          <w:p w:rsidR="006C5E16" w:rsidRPr="006C5E16" w:rsidRDefault="006C5E16" w:rsidP="005C067C">
            <w:pPr>
              <w:rPr>
                <w:sz w:val="20"/>
                <w:szCs w:val="20"/>
              </w:rPr>
            </w:pPr>
            <w:proofErr w:type="gramStart"/>
            <w:r w:rsidRPr="006C5E16">
              <w:rPr>
                <w:sz w:val="20"/>
                <w:szCs w:val="20"/>
              </w:rPr>
              <w:t>cut</w:t>
            </w:r>
            <w:proofErr w:type="gramEnd"/>
            <w:r w:rsidRPr="006C5E16">
              <w:rPr>
                <w:sz w:val="20"/>
                <w:szCs w:val="20"/>
              </w:rPr>
              <w:t xml:space="preserve"> 1</w:t>
            </w:r>
          </w:p>
        </w:tc>
        <w:tc>
          <w:tcPr>
            <w:tcW w:w="2070" w:type="dxa"/>
          </w:tcPr>
          <w:p w:rsidR="006C5E16" w:rsidRPr="006C5E16" w:rsidRDefault="006C5E16" w:rsidP="005C067C">
            <w:pPr>
              <w:jc w:val="center"/>
              <w:rPr>
                <w:sz w:val="20"/>
                <w:szCs w:val="20"/>
              </w:rPr>
            </w:pPr>
            <w:r w:rsidRPr="006C5E16">
              <w:rPr>
                <w:sz w:val="20"/>
                <w:szCs w:val="20"/>
              </w:rPr>
              <w:t>2.169 (.</w:t>
            </w:r>
            <w:r w:rsidRPr="006C5E16">
              <w:rPr>
                <w:iCs/>
                <w:sz w:val="20"/>
                <w:szCs w:val="20"/>
              </w:rPr>
              <w:t>327</w:t>
            </w:r>
            <w:r w:rsidRPr="006C5E16">
              <w:rPr>
                <w:sz w:val="20"/>
                <w:szCs w:val="20"/>
              </w:rPr>
              <w:t>)</w:t>
            </w:r>
          </w:p>
        </w:tc>
        <w:tc>
          <w:tcPr>
            <w:tcW w:w="1530" w:type="dxa"/>
          </w:tcPr>
          <w:p w:rsidR="006C5E16" w:rsidRPr="006C5E16" w:rsidRDefault="006C5E16" w:rsidP="005C067C">
            <w:pPr>
              <w:jc w:val="center"/>
              <w:rPr>
                <w:sz w:val="20"/>
                <w:szCs w:val="20"/>
              </w:rPr>
            </w:pPr>
            <w:r w:rsidRPr="006C5E16">
              <w:rPr>
                <w:sz w:val="20"/>
                <w:szCs w:val="20"/>
              </w:rPr>
              <w:t>2.182 (.</w:t>
            </w:r>
            <w:r w:rsidRPr="006C5E16">
              <w:rPr>
                <w:iCs/>
                <w:sz w:val="20"/>
                <w:szCs w:val="20"/>
              </w:rPr>
              <w:t>323</w:t>
            </w:r>
            <w:r w:rsidRPr="006C5E16">
              <w:rPr>
                <w:sz w:val="20"/>
                <w:szCs w:val="20"/>
              </w:rPr>
              <w:t>)</w:t>
            </w:r>
          </w:p>
        </w:tc>
        <w:tc>
          <w:tcPr>
            <w:tcW w:w="1507" w:type="dxa"/>
          </w:tcPr>
          <w:p w:rsidR="006C5E16" w:rsidRPr="006C5E16" w:rsidRDefault="001D391C" w:rsidP="001D391C">
            <w:pPr>
              <w:jc w:val="center"/>
              <w:rPr>
                <w:sz w:val="20"/>
                <w:szCs w:val="20"/>
              </w:rPr>
            </w:pPr>
            <w:r>
              <w:rPr>
                <w:sz w:val="20"/>
                <w:szCs w:val="20"/>
              </w:rPr>
              <w:t>2.170</w:t>
            </w:r>
            <w:r w:rsidR="00E17F6E">
              <w:rPr>
                <w:sz w:val="20"/>
                <w:szCs w:val="20"/>
              </w:rPr>
              <w:t xml:space="preserve"> (.</w:t>
            </w:r>
            <w:r>
              <w:rPr>
                <w:sz w:val="20"/>
                <w:szCs w:val="20"/>
              </w:rPr>
              <w:t>327</w:t>
            </w:r>
            <w:r w:rsidR="00E17F6E">
              <w:rPr>
                <w:sz w:val="20"/>
                <w:szCs w:val="20"/>
              </w:rPr>
              <w:t>)</w:t>
            </w:r>
          </w:p>
        </w:tc>
        <w:tc>
          <w:tcPr>
            <w:tcW w:w="1600" w:type="dxa"/>
          </w:tcPr>
          <w:p w:rsidR="006C5E16" w:rsidRPr="006C5E16" w:rsidRDefault="006C5E16" w:rsidP="005C067C">
            <w:pPr>
              <w:jc w:val="center"/>
              <w:rPr>
                <w:sz w:val="20"/>
                <w:szCs w:val="20"/>
              </w:rPr>
            </w:pPr>
            <w:r w:rsidRPr="006C5E16">
              <w:rPr>
                <w:sz w:val="20"/>
                <w:szCs w:val="20"/>
              </w:rPr>
              <w:t>2.148 (.</w:t>
            </w:r>
            <w:r w:rsidRPr="006C5E16">
              <w:rPr>
                <w:iCs/>
                <w:sz w:val="20"/>
                <w:szCs w:val="20"/>
              </w:rPr>
              <w:t>327</w:t>
            </w:r>
            <w:r w:rsidRPr="006C5E16">
              <w:rPr>
                <w:sz w:val="20"/>
                <w:szCs w:val="20"/>
              </w:rPr>
              <w:t>)</w:t>
            </w:r>
          </w:p>
        </w:tc>
      </w:tr>
      <w:tr w:rsidR="006C5E16" w:rsidRPr="006C5E16">
        <w:tc>
          <w:tcPr>
            <w:tcW w:w="3258" w:type="dxa"/>
          </w:tcPr>
          <w:p w:rsidR="006C5E16" w:rsidRPr="006C5E16" w:rsidRDefault="006C5E16" w:rsidP="005C067C">
            <w:pPr>
              <w:rPr>
                <w:sz w:val="20"/>
                <w:szCs w:val="20"/>
              </w:rPr>
            </w:pPr>
            <w:proofErr w:type="gramStart"/>
            <w:r w:rsidRPr="006C5E16">
              <w:rPr>
                <w:sz w:val="20"/>
                <w:szCs w:val="20"/>
              </w:rPr>
              <w:t>cut</w:t>
            </w:r>
            <w:proofErr w:type="gramEnd"/>
            <w:r w:rsidRPr="006C5E16">
              <w:rPr>
                <w:sz w:val="20"/>
                <w:szCs w:val="20"/>
              </w:rPr>
              <w:t xml:space="preserve"> 2</w:t>
            </w:r>
          </w:p>
        </w:tc>
        <w:tc>
          <w:tcPr>
            <w:tcW w:w="2070" w:type="dxa"/>
          </w:tcPr>
          <w:p w:rsidR="006C5E16" w:rsidRPr="006C5E16" w:rsidRDefault="006C5E16" w:rsidP="005C067C">
            <w:pPr>
              <w:jc w:val="center"/>
              <w:rPr>
                <w:sz w:val="20"/>
                <w:szCs w:val="20"/>
              </w:rPr>
            </w:pPr>
            <w:r w:rsidRPr="006C5E16">
              <w:rPr>
                <w:sz w:val="20"/>
                <w:szCs w:val="20"/>
              </w:rPr>
              <w:t>2.186 (.</w:t>
            </w:r>
            <w:r w:rsidRPr="006C5E16">
              <w:rPr>
                <w:iCs/>
                <w:sz w:val="20"/>
                <w:szCs w:val="20"/>
              </w:rPr>
              <w:t>325</w:t>
            </w:r>
            <w:r w:rsidRPr="006C5E16">
              <w:rPr>
                <w:sz w:val="20"/>
                <w:szCs w:val="20"/>
              </w:rPr>
              <w:t>)</w:t>
            </w:r>
          </w:p>
        </w:tc>
        <w:tc>
          <w:tcPr>
            <w:tcW w:w="1530" w:type="dxa"/>
          </w:tcPr>
          <w:p w:rsidR="006C5E16" w:rsidRPr="006C5E16" w:rsidRDefault="006C5E16" w:rsidP="005C067C">
            <w:pPr>
              <w:jc w:val="center"/>
              <w:rPr>
                <w:sz w:val="20"/>
                <w:szCs w:val="20"/>
              </w:rPr>
            </w:pPr>
            <w:r w:rsidRPr="006C5E16">
              <w:rPr>
                <w:sz w:val="20"/>
                <w:szCs w:val="20"/>
              </w:rPr>
              <w:t>2.199 (.</w:t>
            </w:r>
            <w:r w:rsidRPr="006C5E16">
              <w:rPr>
                <w:iCs/>
                <w:sz w:val="20"/>
                <w:szCs w:val="20"/>
              </w:rPr>
              <w:t>321</w:t>
            </w:r>
            <w:r w:rsidRPr="006C5E16">
              <w:rPr>
                <w:sz w:val="20"/>
                <w:szCs w:val="20"/>
              </w:rPr>
              <w:t>)</w:t>
            </w:r>
          </w:p>
        </w:tc>
        <w:tc>
          <w:tcPr>
            <w:tcW w:w="1507" w:type="dxa"/>
          </w:tcPr>
          <w:p w:rsidR="006C5E16" w:rsidRPr="006C5E16" w:rsidRDefault="00E17F6E" w:rsidP="001D391C">
            <w:pPr>
              <w:jc w:val="center"/>
              <w:rPr>
                <w:sz w:val="20"/>
                <w:szCs w:val="20"/>
              </w:rPr>
            </w:pPr>
            <w:r>
              <w:rPr>
                <w:sz w:val="20"/>
                <w:szCs w:val="20"/>
              </w:rPr>
              <w:t>2.</w:t>
            </w:r>
            <w:r w:rsidR="001D391C">
              <w:rPr>
                <w:sz w:val="20"/>
                <w:szCs w:val="20"/>
              </w:rPr>
              <w:t>187</w:t>
            </w:r>
            <w:r>
              <w:rPr>
                <w:sz w:val="20"/>
                <w:szCs w:val="20"/>
              </w:rPr>
              <w:t xml:space="preserve"> (.</w:t>
            </w:r>
            <w:r w:rsidR="001D391C">
              <w:rPr>
                <w:sz w:val="20"/>
                <w:szCs w:val="20"/>
              </w:rPr>
              <w:t>325</w:t>
            </w:r>
            <w:r>
              <w:rPr>
                <w:sz w:val="20"/>
                <w:szCs w:val="20"/>
              </w:rPr>
              <w:t>)</w:t>
            </w:r>
          </w:p>
        </w:tc>
        <w:tc>
          <w:tcPr>
            <w:tcW w:w="1600" w:type="dxa"/>
          </w:tcPr>
          <w:p w:rsidR="006C5E16" w:rsidRPr="006C5E16" w:rsidRDefault="006C5E16" w:rsidP="005C067C">
            <w:pPr>
              <w:jc w:val="center"/>
              <w:rPr>
                <w:sz w:val="20"/>
                <w:szCs w:val="20"/>
              </w:rPr>
            </w:pPr>
            <w:r w:rsidRPr="006C5E16">
              <w:rPr>
                <w:sz w:val="20"/>
                <w:szCs w:val="20"/>
              </w:rPr>
              <w:t>2.165 (.</w:t>
            </w:r>
            <w:r w:rsidRPr="006C5E16">
              <w:rPr>
                <w:iCs/>
                <w:sz w:val="20"/>
                <w:szCs w:val="20"/>
              </w:rPr>
              <w:t>325</w:t>
            </w:r>
            <w:r w:rsidRPr="006C5E16">
              <w:rPr>
                <w:sz w:val="20"/>
                <w:szCs w:val="20"/>
              </w:rPr>
              <w:t>)</w:t>
            </w:r>
          </w:p>
        </w:tc>
      </w:tr>
      <w:tr w:rsidR="006C5E16" w:rsidRPr="006C5E16">
        <w:tc>
          <w:tcPr>
            <w:tcW w:w="3258" w:type="dxa"/>
          </w:tcPr>
          <w:p w:rsidR="006C5E16" w:rsidRPr="006C5E16" w:rsidRDefault="006C5E16" w:rsidP="005C067C">
            <w:pPr>
              <w:rPr>
                <w:sz w:val="20"/>
                <w:szCs w:val="20"/>
              </w:rPr>
            </w:pPr>
            <w:proofErr w:type="gramStart"/>
            <w:r w:rsidRPr="006C5E16">
              <w:rPr>
                <w:sz w:val="20"/>
                <w:szCs w:val="20"/>
              </w:rPr>
              <w:t>cut</w:t>
            </w:r>
            <w:proofErr w:type="gramEnd"/>
            <w:r w:rsidRPr="006C5E16">
              <w:rPr>
                <w:sz w:val="20"/>
                <w:szCs w:val="20"/>
              </w:rPr>
              <w:t xml:space="preserve"> 3</w:t>
            </w:r>
          </w:p>
        </w:tc>
        <w:tc>
          <w:tcPr>
            <w:tcW w:w="2070" w:type="dxa"/>
          </w:tcPr>
          <w:p w:rsidR="006C5E16" w:rsidRPr="006C5E16" w:rsidRDefault="006C5E16" w:rsidP="005C067C">
            <w:pPr>
              <w:jc w:val="center"/>
              <w:rPr>
                <w:sz w:val="20"/>
                <w:szCs w:val="20"/>
              </w:rPr>
            </w:pPr>
            <w:r w:rsidRPr="006C5E16">
              <w:rPr>
                <w:sz w:val="20"/>
                <w:szCs w:val="20"/>
              </w:rPr>
              <w:t>2.476 (.</w:t>
            </w:r>
            <w:r w:rsidRPr="006C5E16">
              <w:rPr>
                <w:iCs/>
                <w:sz w:val="20"/>
                <w:szCs w:val="20"/>
              </w:rPr>
              <w:t>331</w:t>
            </w:r>
            <w:r w:rsidRPr="006C5E16">
              <w:rPr>
                <w:sz w:val="20"/>
                <w:szCs w:val="20"/>
              </w:rPr>
              <w:t>)</w:t>
            </w:r>
          </w:p>
        </w:tc>
        <w:tc>
          <w:tcPr>
            <w:tcW w:w="1530" w:type="dxa"/>
          </w:tcPr>
          <w:p w:rsidR="006C5E16" w:rsidRPr="006C5E16" w:rsidRDefault="006C5E16" w:rsidP="005C067C">
            <w:pPr>
              <w:jc w:val="center"/>
              <w:rPr>
                <w:sz w:val="20"/>
                <w:szCs w:val="20"/>
              </w:rPr>
            </w:pPr>
            <w:r w:rsidRPr="006C5E16">
              <w:rPr>
                <w:sz w:val="20"/>
                <w:szCs w:val="20"/>
              </w:rPr>
              <w:t>2.492 (.</w:t>
            </w:r>
            <w:r w:rsidRPr="006C5E16">
              <w:rPr>
                <w:iCs/>
                <w:sz w:val="20"/>
                <w:szCs w:val="20"/>
              </w:rPr>
              <w:t>328</w:t>
            </w:r>
            <w:r w:rsidRPr="006C5E16">
              <w:rPr>
                <w:sz w:val="20"/>
                <w:szCs w:val="20"/>
              </w:rPr>
              <w:t>)</w:t>
            </w:r>
          </w:p>
        </w:tc>
        <w:tc>
          <w:tcPr>
            <w:tcW w:w="1507" w:type="dxa"/>
          </w:tcPr>
          <w:p w:rsidR="006C5E16" w:rsidRPr="006C5E16" w:rsidRDefault="00E17F6E" w:rsidP="001D391C">
            <w:pPr>
              <w:jc w:val="center"/>
              <w:rPr>
                <w:sz w:val="20"/>
                <w:szCs w:val="20"/>
              </w:rPr>
            </w:pPr>
            <w:r>
              <w:rPr>
                <w:sz w:val="20"/>
                <w:szCs w:val="20"/>
              </w:rPr>
              <w:t>2.</w:t>
            </w:r>
            <w:r w:rsidR="001D391C">
              <w:rPr>
                <w:sz w:val="20"/>
                <w:szCs w:val="20"/>
              </w:rPr>
              <w:t>481</w:t>
            </w:r>
            <w:r>
              <w:rPr>
                <w:sz w:val="20"/>
                <w:szCs w:val="20"/>
              </w:rPr>
              <w:t xml:space="preserve"> (.</w:t>
            </w:r>
            <w:r w:rsidR="001D391C">
              <w:rPr>
                <w:sz w:val="20"/>
                <w:szCs w:val="20"/>
              </w:rPr>
              <w:t>332</w:t>
            </w:r>
            <w:r>
              <w:rPr>
                <w:sz w:val="20"/>
                <w:szCs w:val="20"/>
              </w:rPr>
              <w:t>)</w:t>
            </w:r>
          </w:p>
        </w:tc>
        <w:tc>
          <w:tcPr>
            <w:tcW w:w="1600" w:type="dxa"/>
          </w:tcPr>
          <w:p w:rsidR="006C5E16" w:rsidRPr="006C5E16" w:rsidRDefault="006C5E16" w:rsidP="005C067C">
            <w:pPr>
              <w:jc w:val="center"/>
              <w:rPr>
                <w:sz w:val="20"/>
                <w:szCs w:val="20"/>
              </w:rPr>
            </w:pPr>
            <w:r w:rsidRPr="006C5E16">
              <w:rPr>
                <w:sz w:val="20"/>
                <w:szCs w:val="20"/>
              </w:rPr>
              <w:t>2.456 (.</w:t>
            </w:r>
            <w:r w:rsidRPr="006C5E16">
              <w:rPr>
                <w:iCs/>
                <w:sz w:val="20"/>
                <w:szCs w:val="20"/>
              </w:rPr>
              <w:t>331</w:t>
            </w:r>
            <w:r w:rsidRPr="006C5E16">
              <w:rPr>
                <w:sz w:val="20"/>
                <w:szCs w:val="20"/>
              </w:rPr>
              <w:t>)</w:t>
            </w:r>
          </w:p>
        </w:tc>
      </w:tr>
      <w:tr w:rsidR="006C5E16" w:rsidRPr="006C5E16">
        <w:tc>
          <w:tcPr>
            <w:tcW w:w="3258" w:type="dxa"/>
          </w:tcPr>
          <w:p w:rsidR="006C5E16" w:rsidRPr="006C5E16" w:rsidRDefault="006C5E16" w:rsidP="005C067C">
            <w:pPr>
              <w:rPr>
                <w:sz w:val="20"/>
                <w:szCs w:val="20"/>
              </w:rPr>
            </w:pPr>
            <w:proofErr w:type="gramStart"/>
            <w:r w:rsidRPr="006C5E16">
              <w:rPr>
                <w:sz w:val="20"/>
                <w:szCs w:val="20"/>
              </w:rPr>
              <w:t>cut</w:t>
            </w:r>
            <w:proofErr w:type="gramEnd"/>
            <w:r w:rsidRPr="006C5E16">
              <w:rPr>
                <w:sz w:val="20"/>
                <w:szCs w:val="20"/>
              </w:rPr>
              <w:t xml:space="preserve"> 4</w:t>
            </w:r>
          </w:p>
        </w:tc>
        <w:tc>
          <w:tcPr>
            <w:tcW w:w="2070" w:type="dxa"/>
          </w:tcPr>
          <w:p w:rsidR="006C5E16" w:rsidRPr="006C5E16" w:rsidRDefault="006C5E16" w:rsidP="005C067C">
            <w:pPr>
              <w:jc w:val="center"/>
              <w:rPr>
                <w:sz w:val="20"/>
                <w:szCs w:val="20"/>
              </w:rPr>
            </w:pPr>
            <w:r w:rsidRPr="006C5E16">
              <w:rPr>
                <w:sz w:val="20"/>
                <w:szCs w:val="20"/>
              </w:rPr>
              <w:t>2.926 (.</w:t>
            </w:r>
            <w:r w:rsidRPr="006C5E16">
              <w:rPr>
                <w:iCs/>
                <w:sz w:val="20"/>
                <w:szCs w:val="20"/>
              </w:rPr>
              <w:t>343</w:t>
            </w:r>
            <w:r w:rsidRPr="006C5E16">
              <w:rPr>
                <w:sz w:val="20"/>
                <w:szCs w:val="20"/>
              </w:rPr>
              <w:t>)</w:t>
            </w:r>
          </w:p>
        </w:tc>
        <w:tc>
          <w:tcPr>
            <w:tcW w:w="1530" w:type="dxa"/>
          </w:tcPr>
          <w:p w:rsidR="006C5E16" w:rsidRPr="006C5E16" w:rsidRDefault="006C5E16" w:rsidP="005C067C">
            <w:pPr>
              <w:jc w:val="center"/>
              <w:rPr>
                <w:sz w:val="20"/>
                <w:szCs w:val="20"/>
              </w:rPr>
            </w:pPr>
            <w:r w:rsidRPr="006C5E16">
              <w:rPr>
                <w:sz w:val="20"/>
                <w:szCs w:val="20"/>
              </w:rPr>
              <w:t>2.934 (.</w:t>
            </w:r>
            <w:r w:rsidRPr="006C5E16">
              <w:rPr>
                <w:iCs/>
                <w:sz w:val="20"/>
                <w:szCs w:val="20"/>
              </w:rPr>
              <w:t>337</w:t>
            </w:r>
            <w:r w:rsidRPr="006C5E16">
              <w:rPr>
                <w:sz w:val="20"/>
                <w:szCs w:val="20"/>
              </w:rPr>
              <w:t>)</w:t>
            </w:r>
          </w:p>
        </w:tc>
        <w:tc>
          <w:tcPr>
            <w:tcW w:w="1507" w:type="dxa"/>
          </w:tcPr>
          <w:p w:rsidR="006C5E16" w:rsidRPr="006C5E16" w:rsidRDefault="001D391C" w:rsidP="001D391C">
            <w:pPr>
              <w:jc w:val="center"/>
              <w:rPr>
                <w:sz w:val="20"/>
                <w:szCs w:val="20"/>
              </w:rPr>
            </w:pPr>
            <w:r>
              <w:rPr>
                <w:sz w:val="20"/>
                <w:szCs w:val="20"/>
              </w:rPr>
              <w:t>2.929</w:t>
            </w:r>
            <w:r w:rsidR="00E17F6E">
              <w:rPr>
                <w:sz w:val="20"/>
                <w:szCs w:val="20"/>
              </w:rPr>
              <w:t xml:space="preserve"> (.</w:t>
            </w:r>
            <w:r>
              <w:rPr>
                <w:sz w:val="20"/>
                <w:szCs w:val="20"/>
              </w:rPr>
              <w:t>342</w:t>
            </w:r>
            <w:r w:rsidR="00E17F6E">
              <w:rPr>
                <w:sz w:val="20"/>
                <w:szCs w:val="20"/>
              </w:rPr>
              <w:t>)</w:t>
            </w:r>
          </w:p>
        </w:tc>
        <w:tc>
          <w:tcPr>
            <w:tcW w:w="1600" w:type="dxa"/>
          </w:tcPr>
          <w:p w:rsidR="006C5E16" w:rsidRPr="006C5E16" w:rsidRDefault="006C5E16" w:rsidP="005C067C">
            <w:pPr>
              <w:jc w:val="center"/>
              <w:rPr>
                <w:sz w:val="20"/>
                <w:szCs w:val="20"/>
              </w:rPr>
            </w:pPr>
            <w:r w:rsidRPr="006C5E16">
              <w:rPr>
                <w:sz w:val="20"/>
                <w:szCs w:val="20"/>
              </w:rPr>
              <w:t>2.909 (.</w:t>
            </w:r>
            <w:r w:rsidRPr="006C5E16">
              <w:rPr>
                <w:iCs/>
                <w:sz w:val="20"/>
                <w:szCs w:val="20"/>
              </w:rPr>
              <w:t>343</w:t>
            </w:r>
            <w:r w:rsidRPr="006C5E16">
              <w:rPr>
                <w:sz w:val="20"/>
                <w:szCs w:val="20"/>
              </w:rPr>
              <w:t>)</w:t>
            </w:r>
          </w:p>
        </w:tc>
      </w:tr>
      <w:tr w:rsidR="006C5E16" w:rsidRPr="006C5E16">
        <w:tc>
          <w:tcPr>
            <w:tcW w:w="3258" w:type="dxa"/>
          </w:tcPr>
          <w:p w:rsidR="006C5E16" w:rsidRPr="006C5E16" w:rsidRDefault="006C5E16" w:rsidP="005C067C">
            <w:pPr>
              <w:rPr>
                <w:sz w:val="20"/>
                <w:szCs w:val="20"/>
              </w:rPr>
            </w:pPr>
            <w:proofErr w:type="gramStart"/>
            <w:r w:rsidRPr="006C5E16">
              <w:rPr>
                <w:sz w:val="20"/>
                <w:szCs w:val="20"/>
              </w:rPr>
              <w:t>cut</w:t>
            </w:r>
            <w:proofErr w:type="gramEnd"/>
            <w:r w:rsidRPr="006C5E16">
              <w:rPr>
                <w:sz w:val="20"/>
                <w:szCs w:val="20"/>
              </w:rPr>
              <w:t xml:space="preserve"> 5</w:t>
            </w:r>
          </w:p>
        </w:tc>
        <w:tc>
          <w:tcPr>
            <w:tcW w:w="2070" w:type="dxa"/>
          </w:tcPr>
          <w:p w:rsidR="006C5E16" w:rsidRPr="006C5E16" w:rsidRDefault="006C5E16" w:rsidP="005C067C">
            <w:pPr>
              <w:jc w:val="center"/>
              <w:rPr>
                <w:sz w:val="20"/>
                <w:szCs w:val="20"/>
              </w:rPr>
            </w:pPr>
            <w:r w:rsidRPr="006C5E16">
              <w:rPr>
                <w:sz w:val="20"/>
                <w:szCs w:val="20"/>
              </w:rPr>
              <w:t>3.541 (.</w:t>
            </w:r>
            <w:r w:rsidRPr="006C5E16">
              <w:rPr>
                <w:iCs/>
                <w:sz w:val="20"/>
                <w:szCs w:val="20"/>
              </w:rPr>
              <w:t>352</w:t>
            </w:r>
            <w:r w:rsidRPr="006C5E16">
              <w:rPr>
                <w:sz w:val="20"/>
                <w:szCs w:val="20"/>
              </w:rPr>
              <w:t>)</w:t>
            </w:r>
          </w:p>
        </w:tc>
        <w:tc>
          <w:tcPr>
            <w:tcW w:w="1530" w:type="dxa"/>
          </w:tcPr>
          <w:p w:rsidR="006C5E16" w:rsidRPr="006C5E16" w:rsidRDefault="006C5E16" w:rsidP="005C067C">
            <w:pPr>
              <w:jc w:val="center"/>
              <w:rPr>
                <w:sz w:val="20"/>
                <w:szCs w:val="20"/>
              </w:rPr>
            </w:pPr>
            <w:r w:rsidRPr="006C5E16">
              <w:rPr>
                <w:sz w:val="20"/>
                <w:szCs w:val="20"/>
              </w:rPr>
              <w:t>3.546 (.</w:t>
            </w:r>
            <w:r w:rsidRPr="006C5E16">
              <w:rPr>
                <w:iCs/>
                <w:sz w:val="20"/>
                <w:szCs w:val="20"/>
              </w:rPr>
              <w:t>350</w:t>
            </w:r>
            <w:r w:rsidRPr="006C5E16">
              <w:rPr>
                <w:sz w:val="20"/>
                <w:szCs w:val="20"/>
              </w:rPr>
              <w:t>)</w:t>
            </w:r>
          </w:p>
        </w:tc>
        <w:tc>
          <w:tcPr>
            <w:tcW w:w="1507" w:type="dxa"/>
          </w:tcPr>
          <w:p w:rsidR="006C5E16" w:rsidRPr="006C5E16" w:rsidRDefault="001D391C" w:rsidP="001D391C">
            <w:pPr>
              <w:jc w:val="center"/>
              <w:rPr>
                <w:sz w:val="20"/>
                <w:szCs w:val="20"/>
              </w:rPr>
            </w:pPr>
            <w:r>
              <w:rPr>
                <w:sz w:val="20"/>
                <w:szCs w:val="20"/>
              </w:rPr>
              <w:t>3.549</w:t>
            </w:r>
            <w:r w:rsidR="00E17F6E">
              <w:rPr>
                <w:sz w:val="20"/>
                <w:szCs w:val="20"/>
              </w:rPr>
              <w:t xml:space="preserve"> (.</w:t>
            </w:r>
            <w:r>
              <w:rPr>
                <w:sz w:val="20"/>
                <w:szCs w:val="20"/>
              </w:rPr>
              <w:t>353</w:t>
            </w:r>
            <w:r w:rsidR="00E17F6E">
              <w:rPr>
                <w:sz w:val="20"/>
                <w:szCs w:val="20"/>
              </w:rPr>
              <w:t>)</w:t>
            </w:r>
          </w:p>
        </w:tc>
        <w:tc>
          <w:tcPr>
            <w:tcW w:w="1600" w:type="dxa"/>
          </w:tcPr>
          <w:p w:rsidR="006C5E16" w:rsidRPr="006C5E16" w:rsidRDefault="006C5E16" w:rsidP="005C067C">
            <w:pPr>
              <w:jc w:val="center"/>
              <w:rPr>
                <w:sz w:val="20"/>
                <w:szCs w:val="20"/>
              </w:rPr>
            </w:pPr>
            <w:r w:rsidRPr="006C5E16">
              <w:rPr>
                <w:sz w:val="20"/>
                <w:szCs w:val="20"/>
              </w:rPr>
              <w:t>3.526 (.</w:t>
            </w:r>
            <w:r w:rsidRPr="006C5E16">
              <w:rPr>
                <w:iCs/>
                <w:sz w:val="20"/>
                <w:szCs w:val="20"/>
              </w:rPr>
              <w:t>352</w:t>
            </w:r>
            <w:r w:rsidRPr="006C5E16">
              <w:rPr>
                <w:sz w:val="20"/>
                <w:szCs w:val="20"/>
              </w:rPr>
              <w:t>)</w:t>
            </w:r>
          </w:p>
        </w:tc>
      </w:tr>
      <w:tr w:rsidR="006C5E16" w:rsidRPr="006C5E16">
        <w:tc>
          <w:tcPr>
            <w:tcW w:w="3258" w:type="dxa"/>
            <w:tcBorders>
              <w:bottom w:val="single" w:sz="4" w:space="0" w:color="auto"/>
            </w:tcBorders>
          </w:tcPr>
          <w:p w:rsidR="006C5E16" w:rsidRPr="006C5E16" w:rsidRDefault="006C5E16" w:rsidP="005C067C">
            <w:pPr>
              <w:rPr>
                <w:sz w:val="20"/>
                <w:szCs w:val="20"/>
              </w:rPr>
            </w:pPr>
          </w:p>
        </w:tc>
        <w:tc>
          <w:tcPr>
            <w:tcW w:w="2070" w:type="dxa"/>
            <w:tcBorders>
              <w:bottom w:val="single" w:sz="4" w:space="0" w:color="auto"/>
            </w:tcBorders>
          </w:tcPr>
          <w:p w:rsidR="006C5E16" w:rsidRPr="006C5E16" w:rsidRDefault="006C5E16" w:rsidP="005C067C">
            <w:pPr>
              <w:jc w:val="center"/>
              <w:rPr>
                <w:sz w:val="20"/>
                <w:szCs w:val="20"/>
              </w:rPr>
            </w:pPr>
          </w:p>
        </w:tc>
        <w:tc>
          <w:tcPr>
            <w:tcW w:w="1530" w:type="dxa"/>
            <w:tcBorders>
              <w:bottom w:val="single" w:sz="4" w:space="0" w:color="auto"/>
            </w:tcBorders>
          </w:tcPr>
          <w:p w:rsidR="006C5E16" w:rsidRPr="006C5E16" w:rsidRDefault="006C5E16" w:rsidP="005C067C">
            <w:pPr>
              <w:jc w:val="center"/>
              <w:rPr>
                <w:sz w:val="20"/>
                <w:szCs w:val="20"/>
              </w:rPr>
            </w:pPr>
          </w:p>
        </w:tc>
        <w:tc>
          <w:tcPr>
            <w:tcW w:w="1507" w:type="dxa"/>
            <w:tcBorders>
              <w:bottom w:val="single" w:sz="4" w:space="0" w:color="auto"/>
            </w:tcBorders>
          </w:tcPr>
          <w:p w:rsidR="006C5E16" w:rsidRPr="006C5E16" w:rsidRDefault="006C5E16" w:rsidP="005C067C">
            <w:pPr>
              <w:jc w:val="center"/>
              <w:rPr>
                <w:sz w:val="20"/>
                <w:szCs w:val="20"/>
              </w:rPr>
            </w:pPr>
          </w:p>
        </w:tc>
        <w:tc>
          <w:tcPr>
            <w:tcW w:w="1600" w:type="dxa"/>
            <w:tcBorders>
              <w:bottom w:val="single" w:sz="4" w:space="0" w:color="auto"/>
            </w:tcBorders>
          </w:tcPr>
          <w:p w:rsidR="006C5E16" w:rsidRPr="006C5E16" w:rsidRDefault="006C5E16" w:rsidP="005C067C">
            <w:pPr>
              <w:jc w:val="center"/>
              <w:rPr>
                <w:sz w:val="20"/>
                <w:szCs w:val="20"/>
              </w:rPr>
            </w:pPr>
          </w:p>
        </w:tc>
      </w:tr>
    </w:tbl>
    <w:p w:rsidR="00B9207F" w:rsidRPr="00B72461" w:rsidRDefault="00B9207F" w:rsidP="00B9207F">
      <w:pPr>
        <w:rPr>
          <w:szCs w:val="18"/>
        </w:rPr>
      </w:pPr>
      <w:r w:rsidRPr="00D55238">
        <w:rPr>
          <w:szCs w:val="18"/>
        </w:rPr>
        <w:t>Note</w:t>
      </w:r>
      <w:r w:rsidR="006E6134">
        <w:rPr>
          <w:szCs w:val="18"/>
        </w:rPr>
        <w:t>s</w:t>
      </w:r>
      <w:r w:rsidRPr="00D55238">
        <w:rPr>
          <w:szCs w:val="18"/>
        </w:rPr>
        <w:t xml:space="preserve">: </w:t>
      </w:r>
      <w:r w:rsidR="006E6134" w:rsidRPr="00D55238">
        <w:rPr>
          <w:szCs w:val="18"/>
        </w:rPr>
        <w:t>* p ≤ .10 ** p ≤ .05 *** p ≤ .01</w:t>
      </w:r>
      <w:r w:rsidR="006E6134">
        <w:rPr>
          <w:szCs w:val="18"/>
        </w:rPr>
        <w:t xml:space="preserve">. </w:t>
      </w:r>
      <w:r w:rsidRPr="00D55238">
        <w:rPr>
          <w:szCs w:val="18"/>
        </w:rPr>
        <w:t xml:space="preserve">All models are ordered logistical regressions. Robust standard errors clustered on country reported in parentheses. All independent variables </w:t>
      </w:r>
      <w:r>
        <w:rPr>
          <w:szCs w:val="18"/>
        </w:rPr>
        <w:t xml:space="preserve">except Restricted Access </w:t>
      </w:r>
      <w:r w:rsidRPr="00D55238">
        <w:rPr>
          <w:szCs w:val="18"/>
        </w:rPr>
        <w:t xml:space="preserve">lagged one period. </w:t>
      </w:r>
    </w:p>
    <w:p w:rsidR="00B9207F" w:rsidRPr="00B72461" w:rsidRDefault="00B9207F" w:rsidP="00B9207F">
      <w:pPr>
        <w:rPr>
          <w:szCs w:val="18"/>
        </w:rPr>
      </w:pPr>
      <w:r w:rsidRPr="00D55238">
        <w:rPr>
          <w:szCs w:val="18"/>
        </w:rPr>
        <w:br w:type="page"/>
      </w:r>
    </w:p>
    <w:p w:rsidR="00B9207F" w:rsidRPr="00B70861" w:rsidRDefault="00B9207F" w:rsidP="00B9207F">
      <w:pPr>
        <w:rPr>
          <w:b/>
          <w:bCs/>
        </w:rPr>
      </w:pPr>
      <w:r w:rsidRPr="00D55238">
        <w:rPr>
          <w:b/>
          <w:bCs/>
        </w:rPr>
        <w:lastRenderedPageBreak/>
        <w:t xml:space="preserve">Table </w:t>
      </w:r>
      <w:r>
        <w:rPr>
          <w:b/>
          <w:bCs/>
        </w:rPr>
        <w:t>4</w:t>
      </w:r>
      <w:r w:rsidRPr="00D55238">
        <w:rPr>
          <w:b/>
          <w:bCs/>
        </w:rPr>
        <w:t>. Substantive Effects of Terrorism</w:t>
      </w:r>
      <w:r w:rsidR="006E3D03">
        <w:rPr>
          <w:b/>
          <w:bCs/>
        </w:rPr>
        <w:t xml:space="preserve"> on </w:t>
      </w:r>
      <w:r w:rsidR="00632232">
        <w:rPr>
          <w:b/>
          <w:bCs/>
        </w:rPr>
        <w:t xml:space="preserve">Systemic </w:t>
      </w:r>
      <w:r w:rsidR="006E3D03">
        <w:rPr>
          <w:b/>
          <w:bCs/>
        </w:rPr>
        <w:t>Military Torture</w:t>
      </w:r>
    </w:p>
    <w:p w:rsidR="00B9207F" w:rsidRPr="00B72461" w:rsidRDefault="00B9207F" w:rsidP="00B9207F">
      <w:pPr>
        <w:rPr>
          <w:noProof/>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1620"/>
        <w:gridCol w:w="1530"/>
        <w:gridCol w:w="2610"/>
      </w:tblGrid>
      <w:tr w:rsidR="00B9207F">
        <w:tc>
          <w:tcPr>
            <w:tcW w:w="3168" w:type="dxa"/>
            <w:tcBorders>
              <w:bottom w:val="single" w:sz="4" w:space="0" w:color="auto"/>
            </w:tcBorders>
          </w:tcPr>
          <w:p w:rsidR="00B9207F" w:rsidRDefault="00B9207F" w:rsidP="005C067C">
            <w:pPr>
              <w:rPr>
                <w:noProof/>
              </w:rPr>
            </w:pPr>
          </w:p>
        </w:tc>
        <w:tc>
          <w:tcPr>
            <w:tcW w:w="1620" w:type="dxa"/>
            <w:tcBorders>
              <w:bottom w:val="single" w:sz="4" w:space="0" w:color="auto"/>
            </w:tcBorders>
          </w:tcPr>
          <w:p w:rsidR="00B9207F" w:rsidRDefault="00B9207F" w:rsidP="005C067C">
            <w:pPr>
              <w:jc w:val="center"/>
              <w:rPr>
                <w:noProof/>
              </w:rPr>
            </w:pPr>
            <w:r>
              <w:rPr>
                <w:noProof/>
              </w:rPr>
              <w:t>Transnational Attacks</w:t>
            </w:r>
          </w:p>
          <w:p w:rsidR="00B9207F" w:rsidRDefault="00B9207F" w:rsidP="005C067C">
            <w:pPr>
              <w:jc w:val="center"/>
              <w:rPr>
                <w:noProof/>
              </w:rPr>
            </w:pPr>
            <w:r>
              <w:rPr>
                <w:noProof/>
              </w:rPr>
              <w:t>(ITERATE)</w:t>
            </w:r>
          </w:p>
        </w:tc>
        <w:tc>
          <w:tcPr>
            <w:tcW w:w="1530" w:type="dxa"/>
            <w:tcBorders>
              <w:bottom w:val="single" w:sz="4" w:space="0" w:color="auto"/>
            </w:tcBorders>
          </w:tcPr>
          <w:p w:rsidR="00B9207F" w:rsidRDefault="00B9207F" w:rsidP="005C067C">
            <w:pPr>
              <w:jc w:val="center"/>
              <w:rPr>
                <w:noProof/>
              </w:rPr>
            </w:pPr>
            <w:r>
              <w:rPr>
                <w:noProof/>
              </w:rPr>
              <w:t>Domestic Attacks</w:t>
            </w:r>
          </w:p>
          <w:p w:rsidR="00B9207F" w:rsidRDefault="00B9207F" w:rsidP="005C067C">
            <w:pPr>
              <w:jc w:val="center"/>
              <w:rPr>
                <w:noProof/>
              </w:rPr>
            </w:pPr>
            <w:r>
              <w:rPr>
                <w:noProof/>
              </w:rPr>
              <w:t>(GTD)</w:t>
            </w:r>
          </w:p>
        </w:tc>
        <w:tc>
          <w:tcPr>
            <w:tcW w:w="2610" w:type="dxa"/>
            <w:tcBorders>
              <w:bottom w:val="single" w:sz="4" w:space="0" w:color="auto"/>
            </w:tcBorders>
          </w:tcPr>
          <w:p w:rsidR="00B9207F" w:rsidRDefault="00B9207F" w:rsidP="005C067C">
            <w:pPr>
              <w:jc w:val="center"/>
              <w:rPr>
                <w:noProof/>
              </w:rPr>
            </w:pPr>
            <w:r>
              <w:rPr>
                <w:noProof/>
              </w:rPr>
              <w:t>Transnational+Domestic</w:t>
            </w:r>
            <w:r w:rsidR="006E6134">
              <w:rPr>
                <w:noProof/>
              </w:rPr>
              <w:t xml:space="preserve"> Attacks</w:t>
            </w:r>
          </w:p>
          <w:p w:rsidR="00B9207F" w:rsidRDefault="00B9207F" w:rsidP="005C067C">
            <w:pPr>
              <w:jc w:val="center"/>
              <w:rPr>
                <w:noProof/>
              </w:rPr>
            </w:pPr>
            <w:r>
              <w:rPr>
                <w:noProof/>
              </w:rPr>
              <w:t>(GTD)</w:t>
            </w:r>
          </w:p>
        </w:tc>
      </w:tr>
      <w:tr w:rsidR="00B9207F">
        <w:trPr>
          <w:trHeight w:val="665"/>
        </w:trPr>
        <w:tc>
          <w:tcPr>
            <w:tcW w:w="3168" w:type="dxa"/>
            <w:tcBorders>
              <w:top w:val="single" w:sz="4" w:space="0" w:color="auto"/>
            </w:tcBorders>
          </w:tcPr>
          <w:p w:rsidR="00B9207F" w:rsidRDefault="00B9207F" w:rsidP="005C067C">
            <w:pPr>
              <w:rPr>
                <w:noProof/>
              </w:rPr>
            </w:pPr>
            <w:r>
              <w:rPr>
                <w:noProof/>
              </w:rPr>
              <w:t>Predicted Probability</w:t>
            </w:r>
            <w:r w:rsidR="00632232">
              <w:rPr>
                <w:noProof/>
              </w:rPr>
              <w:t xml:space="preserve"> </w:t>
            </w:r>
          </w:p>
          <w:p w:rsidR="00B9207F" w:rsidRDefault="00B9207F" w:rsidP="00923515">
            <w:pPr>
              <w:rPr>
                <w:noProof/>
              </w:rPr>
            </w:pPr>
            <w:r>
              <w:rPr>
                <w:noProof/>
              </w:rPr>
              <w:t>(</w:t>
            </w:r>
            <w:r w:rsidR="00923515">
              <w:rPr>
                <w:noProof/>
              </w:rPr>
              <w:t xml:space="preserve">with </w:t>
            </w:r>
            <w:r>
              <w:rPr>
                <w:noProof/>
              </w:rPr>
              <w:t>0 Terror Attacks)</w:t>
            </w:r>
          </w:p>
        </w:tc>
        <w:tc>
          <w:tcPr>
            <w:tcW w:w="1620" w:type="dxa"/>
            <w:tcBorders>
              <w:top w:val="single" w:sz="4" w:space="0" w:color="auto"/>
            </w:tcBorders>
          </w:tcPr>
          <w:p w:rsidR="00B9207F" w:rsidRDefault="00B9207F" w:rsidP="005C067C">
            <w:pPr>
              <w:jc w:val="center"/>
              <w:rPr>
                <w:noProof/>
              </w:rPr>
            </w:pPr>
            <w:r>
              <w:rPr>
                <w:noProof/>
              </w:rPr>
              <w:t>0.028</w:t>
            </w:r>
          </w:p>
          <w:p w:rsidR="00B9207F" w:rsidRDefault="00B9207F" w:rsidP="005C067C">
            <w:pPr>
              <w:jc w:val="center"/>
              <w:rPr>
                <w:noProof/>
              </w:rPr>
            </w:pPr>
            <w:r>
              <w:rPr>
                <w:noProof/>
              </w:rPr>
              <w:t>[0.016,0.044]</w:t>
            </w:r>
          </w:p>
        </w:tc>
        <w:tc>
          <w:tcPr>
            <w:tcW w:w="1530" w:type="dxa"/>
            <w:tcBorders>
              <w:top w:val="single" w:sz="4" w:space="0" w:color="auto"/>
            </w:tcBorders>
          </w:tcPr>
          <w:p w:rsidR="00B9207F" w:rsidRDefault="00B9207F" w:rsidP="005C067C">
            <w:pPr>
              <w:jc w:val="center"/>
              <w:rPr>
                <w:noProof/>
              </w:rPr>
            </w:pPr>
            <w:r>
              <w:rPr>
                <w:noProof/>
              </w:rPr>
              <w:t>0.029</w:t>
            </w:r>
          </w:p>
          <w:p w:rsidR="00B9207F" w:rsidRDefault="00B9207F" w:rsidP="005C067C">
            <w:pPr>
              <w:jc w:val="center"/>
              <w:rPr>
                <w:noProof/>
              </w:rPr>
            </w:pPr>
            <w:r>
              <w:rPr>
                <w:noProof/>
              </w:rPr>
              <w:t>[0.018,0.047]</w:t>
            </w:r>
          </w:p>
        </w:tc>
        <w:tc>
          <w:tcPr>
            <w:tcW w:w="2610" w:type="dxa"/>
            <w:tcBorders>
              <w:top w:val="single" w:sz="4" w:space="0" w:color="auto"/>
            </w:tcBorders>
          </w:tcPr>
          <w:p w:rsidR="00B9207F" w:rsidRDefault="00B9207F" w:rsidP="005C067C">
            <w:pPr>
              <w:jc w:val="center"/>
              <w:rPr>
                <w:noProof/>
              </w:rPr>
            </w:pPr>
            <w:r>
              <w:rPr>
                <w:noProof/>
              </w:rPr>
              <w:t>0.029</w:t>
            </w:r>
          </w:p>
          <w:p w:rsidR="00B9207F" w:rsidRDefault="00B9207F" w:rsidP="005C067C">
            <w:pPr>
              <w:jc w:val="center"/>
              <w:rPr>
                <w:noProof/>
              </w:rPr>
            </w:pPr>
            <w:r>
              <w:rPr>
                <w:noProof/>
              </w:rPr>
              <w:t>[0.017,0.046]</w:t>
            </w:r>
          </w:p>
        </w:tc>
      </w:tr>
      <w:tr w:rsidR="00B9207F">
        <w:trPr>
          <w:trHeight w:val="710"/>
        </w:trPr>
        <w:tc>
          <w:tcPr>
            <w:tcW w:w="3168" w:type="dxa"/>
          </w:tcPr>
          <w:p w:rsidR="00B9207F" w:rsidRDefault="00B9207F" w:rsidP="005C067C">
            <w:pPr>
              <w:rPr>
                <w:noProof/>
              </w:rPr>
            </w:pPr>
            <w:r>
              <w:rPr>
                <w:noProof/>
              </w:rPr>
              <w:t>Predicted Probability</w:t>
            </w:r>
          </w:p>
          <w:p w:rsidR="00B9207F" w:rsidRDefault="00B9207F" w:rsidP="00923515">
            <w:pPr>
              <w:rPr>
                <w:noProof/>
              </w:rPr>
            </w:pPr>
            <w:r>
              <w:rPr>
                <w:noProof/>
              </w:rPr>
              <w:t>(</w:t>
            </w:r>
            <w:r w:rsidR="00923515">
              <w:rPr>
                <w:noProof/>
              </w:rPr>
              <w:t xml:space="preserve">with </w:t>
            </w:r>
            <w:r>
              <w:rPr>
                <w:noProof/>
              </w:rPr>
              <w:t>20 Terror Attacks)</w:t>
            </w:r>
          </w:p>
        </w:tc>
        <w:tc>
          <w:tcPr>
            <w:tcW w:w="1620" w:type="dxa"/>
          </w:tcPr>
          <w:p w:rsidR="00B9207F" w:rsidRDefault="00B9207F" w:rsidP="005C067C">
            <w:pPr>
              <w:jc w:val="center"/>
              <w:rPr>
                <w:noProof/>
              </w:rPr>
            </w:pPr>
            <w:r>
              <w:rPr>
                <w:noProof/>
              </w:rPr>
              <w:t>0.236</w:t>
            </w:r>
          </w:p>
          <w:p w:rsidR="00B9207F" w:rsidRDefault="00B9207F" w:rsidP="005C067C">
            <w:pPr>
              <w:jc w:val="center"/>
              <w:rPr>
                <w:noProof/>
              </w:rPr>
            </w:pPr>
            <w:r>
              <w:rPr>
                <w:noProof/>
              </w:rPr>
              <w:t>[0.080,0.457]</w:t>
            </w:r>
          </w:p>
        </w:tc>
        <w:tc>
          <w:tcPr>
            <w:tcW w:w="1530" w:type="dxa"/>
          </w:tcPr>
          <w:p w:rsidR="00B9207F" w:rsidRDefault="00B9207F" w:rsidP="005C067C">
            <w:pPr>
              <w:jc w:val="center"/>
              <w:rPr>
                <w:noProof/>
              </w:rPr>
            </w:pPr>
            <w:r>
              <w:rPr>
                <w:noProof/>
              </w:rPr>
              <w:t>0.037</w:t>
            </w:r>
          </w:p>
          <w:p w:rsidR="00B9207F" w:rsidRDefault="00B9207F" w:rsidP="005C067C">
            <w:pPr>
              <w:jc w:val="center"/>
              <w:rPr>
                <w:noProof/>
              </w:rPr>
            </w:pPr>
            <w:r>
              <w:rPr>
                <w:noProof/>
              </w:rPr>
              <w:t>[0.022,0.059]</w:t>
            </w:r>
          </w:p>
        </w:tc>
        <w:tc>
          <w:tcPr>
            <w:tcW w:w="2610" w:type="dxa"/>
          </w:tcPr>
          <w:p w:rsidR="00B9207F" w:rsidRDefault="00B9207F" w:rsidP="005C067C">
            <w:pPr>
              <w:jc w:val="center"/>
              <w:rPr>
                <w:noProof/>
              </w:rPr>
            </w:pPr>
            <w:r>
              <w:rPr>
                <w:noProof/>
              </w:rPr>
              <w:t>0.035</w:t>
            </w:r>
          </w:p>
          <w:p w:rsidR="00B9207F" w:rsidRDefault="00B9207F" w:rsidP="005C067C">
            <w:pPr>
              <w:jc w:val="center"/>
              <w:rPr>
                <w:noProof/>
              </w:rPr>
            </w:pPr>
            <w:r>
              <w:rPr>
                <w:noProof/>
              </w:rPr>
              <w:t>[0.021,0.056]</w:t>
            </w:r>
          </w:p>
        </w:tc>
      </w:tr>
      <w:tr w:rsidR="00B9207F">
        <w:trPr>
          <w:trHeight w:val="710"/>
        </w:trPr>
        <w:tc>
          <w:tcPr>
            <w:tcW w:w="3168" w:type="dxa"/>
            <w:tcBorders>
              <w:bottom w:val="single" w:sz="4" w:space="0" w:color="auto"/>
            </w:tcBorders>
          </w:tcPr>
          <w:p w:rsidR="00B9207F" w:rsidRDefault="00B9207F" w:rsidP="005C067C">
            <w:pPr>
              <w:rPr>
                <w:noProof/>
              </w:rPr>
            </w:pPr>
            <w:r>
              <w:rPr>
                <w:noProof/>
              </w:rPr>
              <w:t>Difference</w:t>
            </w:r>
          </w:p>
        </w:tc>
        <w:tc>
          <w:tcPr>
            <w:tcW w:w="1620" w:type="dxa"/>
            <w:tcBorders>
              <w:bottom w:val="single" w:sz="4" w:space="0" w:color="auto"/>
            </w:tcBorders>
          </w:tcPr>
          <w:p w:rsidR="00B9207F" w:rsidRDefault="00B9207F" w:rsidP="005C067C">
            <w:pPr>
              <w:jc w:val="center"/>
              <w:rPr>
                <w:noProof/>
              </w:rPr>
            </w:pPr>
            <w:r>
              <w:rPr>
                <w:noProof/>
              </w:rPr>
              <w:t>0.208</w:t>
            </w:r>
          </w:p>
          <w:p w:rsidR="00B9207F" w:rsidRDefault="00B9207F" w:rsidP="005C067C">
            <w:pPr>
              <w:jc w:val="center"/>
              <w:rPr>
                <w:noProof/>
              </w:rPr>
            </w:pPr>
            <w:r>
              <w:rPr>
                <w:noProof/>
              </w:rPr>
              <w:t>[0.047,0.430]</w:t>
            </w:r>
          </w:p>
        </w:tc>
        <w:tc>
          <w:tcPr>
            <w:tcW w:w="1530" w:type="dxa"/>
            <w:tcBorders>
              <w:bottom w:val="single" w:sz="4" w:space="0" w:color="auto"/>
            </w:tcBorders>
          </w:tcPr>
          <w:p w:rsidR="00B9207F" w:rsidRDefault="00B9207F" w:rsidP="005C067C">
            <w:pPr>
              <w:jc w:val="center"/>
              <w:rPr>
                <w:noProof/>
              </w:rPr>
            </w:pPr>
            <w:r>
              <w:rPr>
                <w:noProof/>
              </w:rPr>
              <w:t>0.008</w:t>
            </w:r>
          </w:p>
          <w:p w:rsidR="00B9207F" w:rsidRDefault="00B9207F" w:rsidP="005C067C">
            <w:pPr>
              <w:jc w:val="center"/>
              <w:rPr>
                <w:noProof/>
              </w:rPr>
            </w:pPr>
            <w:r>
              <w:rPr>
                <w:noProof/>
              </w:rPr>
              <w:t>[0.001,0.018]</w:t>
            </w:r>
          </w:p>
        </w:tc>
        <w:tc>
          <w:tcPr>
            <w:tcW w:w="2610" w:type="dxa"/>
            <w:tcBorders>
              <w:bottom w:val="single" w:sz="4" w:space="0" w:color="auto"/>
            </w:tcBorders>
          </w:tcPr>
          <w:p w:rsidR="00B9207F" w:rsidRDefault="00B9207F" w:rsidP="005C067C">
            <w:pPr>
              <w:jc w:val="center"/>
              <w:rPr>
                <w:noProof/>
              </w:rPr>
            </w:pPr>
            <w:r>
              <w:rPr>
                <w:noProof/>
              </w:rPr>
              <w:t>0.006</w:t>
            </w:r>
          </w:p>
          <w:p w:rsidR="00B9207F" w:rsidRDefault="00B9207F" w:rsidP="005C067C">
            <w:pPr>
              <w:jc w:val="center"/>
              <w:rPr>
                <w:noProof/>
              </w:rPr>
            </w:pPr>
            <w:r>
              <w:rPr>
                <w:noProof/>
              </w:rPr>
              <w:t>[0.001,0.015]</w:t>
            </w:r>
          </w:p>
        </w:tc>
      </w:tr>
    </w:tbl>
    <w:p w:rsidR="00B9207F" w:rsidRPr="00B70861" w:rsidRDefault="00D01C58" w:rsidP="00D01C58">
      <w:pPr>
        <w:rPr>
          <w:noProof/>
          <w:szCs w:val="20"/>
        </w:rPr>
      </w:pPr>
      <w:r w:rsidRPr="00D55238">
        <w:rPr>
          <w:szCs w:val="18"/>
        </w:rPr>
        <w:t xml:space="preserve">Note: </w:t>
      </w:r>
      <w:r w:rsidR="00B9207F" w:rsidRPr="00B70861">
        <w:rPr>
          <w:noProof/>
          <w:szCs w:val="20"/>
        </w:rPr>
        <w:t>Remaining independent variables set at mean or median values</w:t>
      </w:r>
      <w:r w:rsidR="00B70861" w:rsidRPr="00B70861">
        <w:rPr>
          <w:noProof/>
          <w:szCs w:val="20"/>
        </w:rPr>
        <w:t xml:space="preserve">. </w:t>
      </w:r>
      <w:r w:rsidR="00B9207F" w:rsidRPr="00B70861">
        <w:rPr>
          <w:noProof/>
          <w:szCs w:val="20"/>
        </w:rPr>
        <w:t>95% confidence intervals</w:t>
      </w:r>
      <w:r w:rsidR="006E6134">
        <w:rPr>
          <w:noProof/>
          <w:szCs w:val="20"/>
        </w:rPr>
        <w:t xml:space="preserve"> in brackets.</w:t>
      </w:r>
    </w:p>
    <w:p w:rsidR="00B9207F" w:rsidRPr="00B72461" w:rsidRDefault="00B9207F" w:rsidP="00B9207F">
      <w:pPr>
        <w:rPr>
          <w:noProof/>
        </w:rPr>
      </w:pPr>
    </w:p>
    <w:p w:rsidR="00B9207F" w:rsidRPr="00B72461" w:rsidRDefault="00B9207F" w:rsidP="00B9207F">
      <w:pPr>
        <w:rPr>
          <w:noProof/>
        </w:rPr>
      </w:pPr>
    </w:p>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r>
        <w:rPr>
          <w:noProof/>
        </w:rPr>
        <w:lastRenderedPageBreak/>
        <w:drawing>
          <wp:inline distT="0" distB="0" distL="0" distR="0">
            <wp:extent cx="5486400" cy="43419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4341998"/>
                    </a:xfrm>
                    <a:prstGeom prst="rect">
                      <a:avLst/>
                    </a:prstGeom>
                    <a:noFill/>
                    <a:ln>
                      <a:noFill/>
                    </a:ln>
                  </pic:spPr>
                </pic:pic>
              </a:graphicData>
            </a:graphic>
          </wp:inline>
        </w:drawing>
      </w:r>
    </w:p>
    <w:p w:rsidR="00B70861" w:rsidRDefault="00B70861">
      <w:pPr>
        <w:rPr>
          <w:b/>
          <w:bCs/>
        </w:rPr>
      </w:pPr>
      <w:r>
        <w:rPr>
          <w:b/>
          <w:bCs/>
        </w:rPr>
        <w:br w:type="page"/>
      </w:r>
    </w:p>
    <w:p w:rsidR="00D01C58" w:rsidRDefault="00D01C58" w:rsidP="00B70861">
      <w:pPr>
        <w:rPr>
          <w:b/>
          <w:bCs/>
        </w:rPr>
      </w:pPr>
      <w:r w:rsidRPr="00D55238">
        <w:rPr>
          <w:b/>
          <w:bCs/>
        </w:rPr>
        <w:lastRenderedPageBreak/>
        <w:t xml:space="preserve">Table </w:t>
      </w:r>
      <w:r>
        <w:rPr>
          <w:b/>
          <w:bCs/>
        </w:rPr>
        <w:t>5</w:t>
      </w:r>
      <w:r w:rsidRPr="00D55238">
        <w:rPr>
          <w:b/>
          <w:bCs/>
        </w:rPr>
        <w:t>. Terrorism and Military Torture (</w:t>
      </w:r>
      <w:r>
        <w:rPr>
          <w:b/>
          <w:bCs/>
        </w:rPr>
        <w:t>ITT Interactive Model</w:t>
      </w:r>
      <w:r w:rsidRPr="00D55238">
        <w:rPr>
          <w:b/>
          <w:bCs/>
        </w:rPr>
        <w:t>), 1995 to 2005</w:t>
      </w:r>
    </w:p>
    <w:p w:rsidR="00B70861" w:rsidRPr="00DF687A" w:rsidRDefault="00B70861" w:rsidP="00B70861"/>
    <w:tbl>
      <w:tblPr>
        <w:tblW w:w="7000" w:type="dxa"/>
        <w:jc w:val="center"/>
        <w:tblLook w:val="00A0" w:firstRow="1" w:lastRow="0" w:firstColumn="1" w:lastColumn="0" w:noHBand="0" w:noVBand="0"/>
      </w:tblPr>
      <w:tblGrid>
        <w:gridCol w:w="4523"/>
        <w:gridCol w:w="2477"/>
      </w:tblGrid>
      <w:tr w:rsidR="00B70861" w:rsidRPr="001F73E6">
        <w:trPr>
          <w:jc w:val="center"/>
        </w:trPr>
        <w:tc>
          <w:tcPr>
            <w:tcW w:w="4523" w:type="dxa"/>
            <w:tcBorders>
              <w:bottom w:val="single" w:sz="4" w:space="0" w:color="auto"/>
            </w:tcBorders>
          </w:tcPr>
          <w:p w:rsidR="00B70861" w:rsidRPr="001F73E6" w:rsidRDefault="00B70861" w:rsidP="005C067C"/>
        </w:tc>
        <w:tc>
          <w:tcPr>
            <w:tcW w:w="2477" w:type="dxa"/>
            <w:tcBorders>
              <w:bottom w:val="single" w:sz="4" w:space="0" w:color="auto"/>
            </w:tcBorders>
          </w:tcPr>
          <w:p w:rsidR="00B70861" w:rsidRPr="001F73E6" w:rsidRDefault="006E6134" w:rsidP="005C067C">
            <w:pPr>
              <w:jc w:val="center"/>
            </w:pPr>
            <w:r>
              <w:rPr>
                <w:szCs w:val="20"/>
              </w:rPr>
              <w:t xml:space="preserve">Dependent Variable: </w:t>
            </w:r>
            <w:r w:rsidRPr="00D55238">
              <w:rPr>
                <w:szCs w:val="20"/>
              </w:rPr>
              <w:t xml:space="preserve">Military </w:t>
            </w:r>
            <w:r>
              <w:rPr>
                <w:szCs w:val="20"/>
              </w:rPr>
              <w:t xml:space="preserve">(ITT) </w:t>
            </w:r>
            <w:r w:rsidRPr="00D55238">
              <w:rPr>
                <w:szCs w:val="20"/>
              </w:rPr>
              <w:t>Torture</w:t>
            </w:r>
          </w:p>
        </w:tc>
      </w:tr>
      <w:tr w:rsidR="00B70861" w:rsidRPr="001F73E6">
        <w:trPr>
          <w:jc w:val="center"/>
        </w:trPr>
        <w:tc>
          <w:tcPr>
            <w:tcW w:w="4523" w:type="dxa"/>
            <w:tcBorders>
              <w:top w:val="single" w:sz="4" w:space="0" w:color="auto"/>
            </w:tcBorders>
          </w:tcPr>
          <w:p w:rsidR="00B70861" w:rsidRPr="001F73E6" w:rsidRDefault="00B70861" w:rsidP="005C067C"/>
        </w:tc>
        <w:tc>
          <w:tcPr>
            <w:tcW w:w="2477" w:type="dxa"/>
            <w:tcBorders>
              <w:top w:val="single" w:sz="4" w:space="0" w:color="auto"/>
            </w:tcBorders>
          </w:tcPr>
          <w:p w:rsidR="00B70861" w:rsidRPr="001F73E6" w:rsidRDefault="00B70861" w:rsidP="005C067C">
            <w:pPr>
              <w:jc w:val="center"/>
            </w:pPr>
          </w:p>
        </w:tc>
      </w:tr>
      <w:tr w:rsidR="00B70861" w:rsidRPr="001F73E6">
        <w:trPr>
          <w:jc w:val="center"/>
        </w:trPr>
        <w:tc>
          <w:tcPr>
            <w:tcW w:w="4523" w:type="dxa"/>
          </w:tcPr>
          <w:p w:rsidR="00B70861" w:rsidRPr="001F73E6" w:rsidRDefault="006E6134" w:rsidP="005C067C">
            <w:r>
              <w:t>Transnational T</w:t>
            </w:r>
            <w:r w:rsidR="00B70861" w:rsidRPr="001F73E6">
              <w:t>errorism (ITERATE)</w:t>
            </w:r>
          </w:p>
        </w:tc>
        <w:tc>
          <w:tcPr>
            <w:tcW w:w="2477" w:type="dxa"/>
          </w:tcPr>
          <w:p w:rsidR="00B70861" w:rsidRPr="001F73E6" w:rsidRDefault="001F73E6" w:rsidP="005C067C">
            <w:pPr>
              <w:jc w:val="center"/>
            </w:pPr>
            <w:r w:rsidRPr="001F73E6">
              <w:t>-.043 (.036</w:t>
            </w:r>
            <w:r w:rsidR="00B70861" w:rsidRPr="001F73E6">
              <w:t>)</w:t>
            </w:r>
          </w:p>
        </w:tc>
      </w:tr>
      <w:tr w:rsidR="00B70861" w:rsidRPr="001F73E6">
        <w:trPr>
          <w:jc w:val="center"/>
        </w:trPr>
        <w:tc>
          <w:tcPr>
            <w:tcW w:w="4523" w:type="dxa"/>
          </w:tcPr>
          <w:p w:rsidR="00B70861" w:rsidRPr="001F73E6" w:rsidRDefault="006E6134" w:rsidP="005C067C">
            <w:r>
              <w:t>Regime Type</w:t>
            </w:r>
          </w:p>
        </w:tc>
        <w:tc>
          <w:tcPr>
            <w:tcW w:w="2477" w:type="dxa"/>
          </w:tcPr>
          <w:p w:rsidR="00B70861" w:rsidRPr="001F73E6" w:rsidRDefault="001F73E6" w:rsidP="005C067C">
            <w:pPr>
              <w:jc w:val="center"/>
            </w:pPr>
            <w:r w:rsidRPr="001F73E6">
              <w:t>-.044</w:t>
            </w:r>
            <w:r w:rsidR="00B70861" w:rsidRPr="001F73E6">
              <w:t xml:space="preserve"> (.</w:t>
            </w:r>
            <w:r w:rsidR="00B70861" w:rsidRPr="001F73E6">
              <w:rPr>
                <w:i/>
                <w:iCs/>
              </w:rPr>
              <w:t>01</w:t>
            </w:r>
            <w:r w:rsidRPr="001F73E6">
              <w:rPr>
                <w:i/>
                <w:iCs/>
              </w:rPr>
              <w:t>1</w:t>
            </w:r>
            <w:r w:rsidR="00B70861" w:rsidRPr="001F73E6">
              <w:t>)***</w:t>
            </w:r>
          </w:p>
        </w:tc>
      </w:tr>
      <w:tr w:rsidR="00B70861" w:rsidRPr="001F73E6">
        <w:trPr>
          <w:jc w:val="center"/>
        </w:trPr>
        <w:tc>
          <w:tcPr>
            <w:tcW w:w="4523" w:type="dxa"/>
          </w:tcPr>
          <w:p w:rsidR="00B70861" w:rsidRPr="001F73E6" w:rsidRDefault="00B70861" w:rsidP="005C067C">
            <w:r w:rsidRPr="001F73E6">
              <w:t>Transnational Terrorism*Regime Type</w:t>
            </w:r>
          </w:p>
        </w:tc>
        <w:tc>
          <w:tcPr>
            <w:tcW w:w="2477" w:type="dxa"/>
          </w:tcPr>
          <w:p w:rsidR="00B70861" w:rsidRPr="001F73E6" w:rsidRDefault="001F73E6" w:rsidP="005C067C">
            <w:pPr>
              <w:jc w:val="center"/>
            </w:pPr>
            <w:r w:rsidRPr="001F73E6">
              <w:t>.007 (.002</w:t>
            </w:r>
            <w:r w:rsidR="00B70861" w:rsidRPr="001F73E6">
              <w:t>)</w:t>
            </w:r>
            <w:r w:rsidRPr="001F73E6">
              <w:t>***</w:t>
            </w:r>
          </w:p>
        </w:tc>
      </w:tr>
      <w:tr w:rsidR="00B70861" w:rsidRPr="001F73E6">
        <w:trPr>
          <w:jc w:val="center"/>
        </w:trPr>
        <w:tc>
          <w:tcPr>
            <w:tcW w:w="4523" w:type="dxa"/>
          </w:tcPr>
          <w:p w:rsidR="00B70861" w:rsidRPr="001F73E6" w:rsidRDefault="006E6134" w:rsidP="005C067C">
            <w:r>
              <w:t>GDP Per Capita</w:t>
            </w:r>
          </w:p>
        </w:tc>
        <w:tc>
          <w:tcPr>
            <w:tcW w:w="2477" w:type="dxa"/>
          </w:tcPr>
          <w:p w:rsidR="00B70861" w:rsidRPr="001F73E6" w:rsidRDefault="00B70861" w:rsidP="005C067C">
            <w:pPr>
              <w:jc w:val="center"/>
            </w:pPr>
            <w:r w:rsidRPr="001F73E6">
              <w:t>.000 (.</w:t>
            </w:r>
            <w:r w:rsidRPr="001F73E6">
              <w:rPr>
                <w:i/>
                <w:iCs/>
              </w:rPr>
              <w:t>000</w:t>
            </w:r>
            <w:r w:rsidRPr="001F73E6">
              <w:t>)*</w:t>
            </w:r>
          </w:p>
        </w:tc>
      </w:tr>
      <w:tr w:rsidR="00B70861" w:rsidRPr="001F73E6">
        <w:trPr>
          <w:jc w:val="center"/>
        </w:trPr>
        <w:tc>
          <w:tcPr>
            <w:tcW w:w="4523" w:type="dxa"/>
          </w:tcPr>
          <w:p w:rsidR="00B70861" w:rsidRPr="001F73E6" w:rsidRDefault="00B70861" w:rsidP="005C067C">
            <w:r w:rsidRPr="001F73E6">
              <w:t>Population</w:t>
            </w:r>
          </w:p>
        </w:tc>
        <w:tc>
          <w:tcPr>
            <w:tcW w:w="2477" w:type="dxa"/>
          </w:tcPr>
          <w:p w:rsidR="00B70861" w:rsidRPr="001F73E6" w:rsidRDefault="00B70861" w:rsidP="005C067C">
            <w:pPr>
              <w:jc w:val="center"/>
            </w:pPr>
            <w:r w:rsidRPr="001F73E6">
              <w:t>.000 (.</w:t>
            </w:r>
            <w:r w:rsidRPr="001F73E6">
              <w:rPr>
                <w:i/>
                <w:iCs/>
              </w:rPr>
              <w:t>000</w:t>
            </w:r>
            <w:r w:rsidRPr="001F73E6">
              <w:t>)</w:t>
            </w:r>
          </w:p>
        </w:tc>
      </w:tr>
      <w:tr w:rsidR="00B70861" w:rsidRPr="001F73E6">
        <w:trPr>
          <w:jc w:val="center"/>
        </w:trPr>
        <w:tc>
          <w:tcPr>
            <w:tcW w:w="4523" w:type="dxa"/>
          </w:tcPr>
          <w:p w:rsidR="00B70861" w:rsidRPr="001F73E6" w:rsidRDefault="00B70861" w:rsidP="006E6134">
            <w:r w:rsidRPr="001F73E6">
              <w:t xml:space="preserve">Civil War </w:t>
            </w:r>
          </w:p>
        </w:tc>
        <w:tc>
          <w:tcPr>
            <w:tcW w:w="2477" w:type="dxa"/>
          </w:tcPr>
          <w:p w:rsidR="00B70861" w:rsidRPr="001F73E6" w:rsidRDefault="001F73E6" w:rsidP="005C067C">
            <w:pPr>
              <w:jc w:val="center"/>
            </w:pPr>
            <w:r w:rsidRPr="001F73E6">
              <w:t>.561</w:t>
            </w:r>
            <w:r w:rsidR="00B70861" w:rsidRPr="001F73E6">
              <w:t xml:space="preserve"> (.</w:t>
            </w:r>
            <w:r w:rsidRPr="001F73E6">
              <w:rPr>
                <w:i/>
                <w:iCs/>
              </w:rPr>
              <w:t>128</w:t>
            </w:r>
            <w:r w:rsidR="00B70861" w:rsidRPr="001F73E6">
              <w:t>)***</w:t>
            </w:r>
          </w:p>
        </w:tc>
      </w:tr>
      <w:tr w:rsidR="00B70861" w:rsidRPr="001F73E6">
        <w:trPr>
          <w:jc w:val="center"/>
        </w:trPr>
        <w:tc>
          <w:tcPr>
            <w:tcW w:w="4523" w:type="dxa"/>
          </w:tcPr>
          <w:p w:rsidR="00B70861" w:rsidRPr="001F73E6" w:rsidRDefault="00B70861" w:rsidP="006E6134">
            <w:r w:rsidRPr="001F73E6">
              <w:t xml:space="preserve">International War </w:t>
            </w:r>
          </w:p>
        </w:tc>
        <w:tc>
          <w:tcPr>
            <w:tcW w:w="2477" w:type="dxa"/>
          </w:tcPr>
          <w:p w:rsidR="00B70861" w:rsidRPr="001F73E6" w:rsidRDefault="001F73E6" w:rsidP="005C067C">
            <w:pPr>
              <w:jc w:val="center"/>
            </w:pPr>
            <w:r w:rsidRPr="001F73E6">
              <w:t>-.109 (.222</w:t>
            </w:r>
            <w:r w:rsidR="00B70861" w:rsidRPr="001F73E6">
              <w:t>)</w:t>
            </w:r>
          </w:p>
        </w:tc>
      </w:tr>
      <w:tr w:rsidR="00B70861" w:rsidRPr="001F73E6">
        <w:trPr>
          <w:jc w:val="center"/>
        </w:trPr>
        <w:tc>
          <w:tcPr>
            <w:tcW w:w="4523" w:type="dxa"/>
          </w:tcPr>
          <w:p w:rsidR="00B70861" w:rsidRPr="001F73E6" w:rsidRDefault="006E6134" w:rsidP="005C067C">
            <w:r>
              <w:t>CAT Signatory</w:t>
            </w:r>
          </w:p>
        </w:tc>
        <w:tc>
          <w:tcPr>
            <w:tcW w:w="2477" w:type="dxa"/>
          </w:tcPr>
          <w:p w:rsidR="00B70861" w:rsidRPr="001F73E6" w:rsidRDefault="001F73E6" w:rsidP="005C067C">
            <w:pPr>
              <w:jc w:val="center"/>
            </w:pPr>
            <w:r w:rsidRPr="001F73E6">
              <w:t>.271 (.167</w:t>
            </w:r>
            <w:r w:rsidR="00B70861" w:rsidRPr="001F73E6">
              <w:t>)</w:t>
            </w:r>
            <w:r w:rsidRPr="001F73E6">
              <w:t>*</w:t>
            </w:r>
          </w:p>
        </w:tc>
      </w:tr>
      <w:tr w:rsidR="00B70861" w:rsidRPr="001F73E6">
        <w:trPr>
          <w:jc w:val="center"/>
        </w:trPr>
        <w:tc>
          <w:tcPr>
            <w:tcW w:w="4523" w:type="dxa"/>
          </w:tcPr>
          <w:p w:rsidR="00B70861" w:rsidRPr="001F73E6" w:rsidRDefault="00B70861" w:rsidP="005C067C">
            <w:r w:rsidRPr="001F73E6">
              <w:t>Restricted Access</w:t>
            </w:r>
          </w:p>
        </w:tc>
        <w:tc>
          <w:tcPr>
            <w:tcW w:w="2477" w:type="dxa"/>
          </w:tcPr>
          <w:p w:rsidR="00B70861" w:rsidRPr="001F73E6" w:rsidRDefault="001F73E6" w:rsidP="005C067C">
            <w:pPr>
              <w:jc w:val="center"/>
            </w:pPr>
            <w:r w:rsidRPr="001F73E6">
              <w:t>.451 (.189</w:t>
            </w:r>
            <w:r w:rsidR="00B70861" w:rsidRPr="001F73E6">
              <w:t>)</w:t>
            </w:r>
            <w:r w:rsidRPr="001F73E6">
              <w:t>**</w:t>
            </w:r>
          </w:p>
        </w:tc>
      </w:tr>
      <w:tr w:rsidR="00B70861" w:rsidRPr="001F73E6">
        <w:trPr>
          <w:jc w:val="center"/>
        </w:trPr>
        <w:tc>
          <w:tcPr>
            <w:tcW w:w="4523" w:type="dxa"/>
          </w:tcPr>
          <w:p w:rsidR="00B70861" w:rsidRPr="001F73E6" w:rsidRDefault="00B70861" w:rsidP="005C067C">
            <w:r w:rsidRPr="001F73E6">
              <w:t>Domestic Dissent</w:t>
            </w:r>
          </w:p>
        </w:tc>
        <w:tc>
          <w:tcPr>
            <w:tcW w:w="2477" w:type="dxa"/>
          </w:tcPr>
          <w:p w:rsidR="00B70861" w:rsidRPr="001F73E6" w:rsidRDefault="001F73E6" w:rsidP="005C067C">
            <w:pPr>
              <w:jc w:val="center"/>
            </w:pPr>
            <w:r w:rsidRPr="001F73E6">
              <w:t>.611(.110</w:t>
            </w:r>
            <w:r w:rsidR="00B70861" w:rsidRPr="001F73E6">
              <w:t>)***</w:t>
            </w:r>
          </w:p>
        </w:tc>
      </w:tr>
      <w:tr w:rsidR="00B70861" w:rsidRPr="001F73E6">
        <w:trPr>
          <w:jc w:val="center"/>
        </w:trPr>
        <w:tc>
          <w:tcPr>
            <w:tcW w:w="4523" w:type="dxa"/>
          </w:tcPr>
          <w:p w:rsidR="00B70861" w:rsidRPr="001F73E6" w:rsidRDefault="00B70861" w:rsidP="005C067C"/>
        </w:tc>
        <w:tc>
          <w:tcPr>
            <w:tcW w:w="2477" w:type="dxa"/>
          </w:tcPr>
          <w:p w:rsidR="00B70861" w:rsidRPr="001F73E6" w:rsidRDefault="00B70861" w:rsidP="005C067C">
            <w:pPr>
              <w:jc w:val="center"/>
            </w:pPr>
          </w:p>
        </w:tc>
      </w:tr>
      <w:tr w:rsidR="001F73E6" w:rsidRPr="001F73E6">
        <w:trPr>
          <w:jc w:val="center"/>
        </w:trPr>
        <w:tc>
          <w:tcPr>
            <w:tcW w:w="4523" w:type="dxa"/>
          </w:tcPr>
          <w:p w:rsidR="001F73E6" w:rsidRPr="001F73E6" w:rsidRDefault="001F73E6" w:rsidP="005C067C">
            <w:pPr>
              <w:rPr>
                <w:szCs w:val="20"/>
              </w:rPr>
            </w:pPr>
            <w:r w:rsidRPr="001F73E6">
              <w:rPr>
                <w:szCs w:val="20"/>
              </w:rPr>
              <w:t>Observations</w:t>
            </w:r>
          </w:p>
        </w:tc>
        <w:tc>
          <w:tcPr>
            <w:tcW w:w="2477" w:type="dxa"/>
          </w:tcPr>
          <w:p w:rsidR="001F73E6" w:rsidRPr="001F73E6" w:rsidRDefault="001F73E6" w:rsidP="005C067C">
            <w:pPr>
              <w:jc w:val="center"/>
            </w:pPr>
            <w:r w:rsidRPr="001F73E6">
              <w:t>1237</w:t>
            </w:r>
          </w:p>
        </w:tc>
      </w:tr>
      <w:tr w:rsidR="001F73E6" w:rsidRPr="001F73E6">
        <w:trPr>
          <w:jc w:val="center"/>
        </w:trPr>
        <w:tc>
          <w:tcPr>
            <w:tcW w:w="4523" w:type="dxa"/>
          </w:tcPr>
          <w:p w:rsidR="001F73E6" w:rsidRPr="001F73E6" w:rsidRDefault="001F73E6" w:rsidP="005C067C">
            <w:pPr>
              <w:rPr>
                <w:szCs w:val="20"/>
              </w:rPr>
            </w:pPr>
            <w:r w:rsidRPr="001F73E6">
              <w:rPr>
                <w:szCs w:val="20"/>
              </w:rPr>
              <w:t>Wald χ</w:t>
            </w:r>
            <w:r w:rsidRPr="001F73E6">
              <w:rPr>
                <w:szCs w:val="20"/>
                <w:vertAlign w:val="superscript"/>
              </w:rPr>
              <w:t>2</w:t>
            </w:r>
          </w:p>
        </w:tc>
        <w:tc>
          <w:tcPr>
            <w:tcW w:w="2477" w:type="dxa"/>
          </w:tcPr>
          <w:p w:rsidR="001F73E6" w:rsidRPr="001F73E6" w:rsidRDefault="001F73E6" w:rsidP="005C067C">
            <w:pPr>
              <w:jc w:val="center"/>
            </w:pPr>
            <w:r w:rsidRPr="001F73E6">
              <w:t>145.01***</w:t>
            </w:r>
          </w:p>
        </w:tc>
      </w:tr>
      <w:tr w:rsidR="001F73E6" w:rsidRPr="001F73E6">
        <w:trPr>
          <w:jc w:val="center"/>
        </w:trPr>
        <w:tc>
          <w:tcPr>
            <w:tcW w:w="4523" w:type="dxa"/>
          </w:tcPr>
          <w:p w:rsidR="001F73E6" w:rsidRPr="001F73E6" w:rsidRDefault="001F73E6" w:rsidP="005C067C">
            <w:pPr>
              <w:rPr>
                <w:szCs w:val="20"/>
              </w:rPr>
            </w:pPr>
            <w:r w:rsidRPr="001F73E6">
              <w:rPr>
                <w:szCs w:val="20"/>
              </w:rPr>
              <w:t>Pseudo R</w:t>
            </w:r>
            <w:r w:rsidRPr="001F73E6">
              <w:rPr>
                <w:szCs w:val="20"/>
                <w:vertAlign w:val="superscript"/>
              </w:rPr>
              <w:t>2</w:t>
            </w:r>
          </w:p>
        </w:tc>
        <w:tc>
          <w:tcPr>
            <w:tcW w:w="2477" w:type="dxa"/>
          </w:tcPr>
          <w:p w:rsidR="001F73E6" w:rsidRPr="001F73E6" w:rsidRDefault="001F73E6" w:rsidP="005C067C">
            <w:pPr>
              <w:jc w:val="center"/>
            </w:pPr>
            <w:r w:rsidRPr="001F73E6">
              <w:t>.112</w:t>
            </w:r>
          </w:p>
        </w:tc>
      </w:tr>
      <w:tr w:rsidR="001F73E6" w:rsidRPr="001F73E6">
        <w:trPr>
          <w:jc w:val="center"/>
        </w:trPr>
        <w:tc>
          <w:tcPr>
            <w:tcW w:w="4523" w:type="dxa"/>
          </w:tcPr>
          <w:p w:rsidR="001F73E6" w:rsidRPr="001F73E6" w:rsidRDefault="001F73E6" w:rsidP="005C067C">
            <w:pPr>
              <w:rPr>
                <w:szCs w:val="20"/>
              </w:rPr>
            </w:pPr>
          </w:p>
        </w:tc>
        <w:tc>
          <w:tcPr>
            <w:tcW w:w="2477" w:type="dxa"/>
          </w:tcPr>
          <w:p w:rsidR="001F73E6" w:rsidRPr="001F73E6" w:rsidRDefault="001F73E6" w:rsidP="005C067C">
            <w:pPr>
              <w:jc w:val="center"/>
            </w:pPr>
          </w:p>
        </w:tc>
      </w:tr>
      <w:tr w:rsidR="001F73E6" w:rsidRPr="001F73E6">
        <w:trPr>
          <w:jc w:val="center"/>
        </w:trPr>
        <w:tc>
          <w:tcPr>
            <w:tcW w:w="4523" w:type="dxa"/>
          </w:tcPr>
          <w:p w:rsidR="001F73E6" w:rsidRPr="001F73E6" w:rsidRDefault="001F73E6" w:rsidP="005C067C">
            <w:pPr>
              <w:rPr>
                <w:szCs w:val="20"/>
              </w:rPr>
            </w:pPr>
            <w:proofErr w:type="gramStart"/>
            <w:r w:rsidRPr="001F73E6">
              <w:rPr>
                <w:szCs w:val="20"/>
              </w:rPr>
              <w:t>cut</w:t>
            </w:r>
            <w:proofErr w:type="gramEnd"/>
            <w:r w:rsidRPr="001F73E6">
              <w:rPr>
                <w:szCs w:val="20"/>
              </w:rPr>
              <w:t xml:space="preserve"> 1</w:t>
            </w:r>
          </w:p>
        </w:tc>
        <w:tc>
          <w:tcPr>
            <w:tcW w:w="2477" w:type="dxa"/>
          </w:tcPr>
          <w:p w:rsidR="001F73E6" w:rsidRPr="001F73E6" w:rsidRDefault="001F73E6" w:rsidP="005C067C">
            <w:pPr>
              <w:jc w:val="center"/>
            </w:pPr>
            <w:r w:rsidRPr="001F73E6">
              <w:t>.795 (.208)</w:t>
            </w:r>
          </w:p>
        </w:tc>
      </w:tr>
      <w:tr w:rsidR="001F73E6" w:rsidRPr="001F73E6">
        <w:trPr>
          <w:jc w:val="center"/>
        </w:trPr>
        <w:tc>
          <w:tcPr>
            <w:tcW w:w="4523" w:type="dxa"/>
          </w:tcPr>
          <w:p w:rsidR="001F73E6" w:rsidRPr="001F73E6" w:rsidRDefault="001F73E6" w:rsidP="005C067C">
            <w:pPr>
              <w:rPr>
                <w:szCs w:val="20"/>
              </w:rPr>
            </w:pPr>
            <w:proofErr w:type="gramStart"/>
            <w:r w:rsidRPr="001F73E6">
              <w:rPr>
                <w:szCs w:val="20"/>
              </w:rPr>
              <w:t>cut</w:t>
            </w:r>
            <w:proofErr w:type="gramEnd"/>
            <w:r w:rsidRPr="001F73E6">
              <w:rPr>
                <w:szCs w:val="20"/>
              </w:rPr>
              <w:t xml:space="preserve"> 2</w:t>
            </w:r>
          </w:p>
        </w:tc>
        <w:tc>
          <w:tcPr>
            <w:tcW w:w="2477" w:type="dxa"/>
          </w:tcPr>
          <w:p w:rsidR="001F73E6" w:rsidRPr="001F73E6" w:rsidRDefault="001F73E6" w:rsidP="005C067C">
            <w:pPr>
              <w:jc w:val="center"/>
            </w:pPr>
            <w:r w:rsidRPr="001F73E6">
              <w:t>.805 (.206)</w:t>
            </w:r>
          </w:p>
        </w:tc>
      </w:tr>
      <w:tr w:rsidR="001F73E6" w:rsidRPr="001F73E6">
        <w:trPr>
          <w:jc w:val="center"/>
        </w:trPr>
        <w:tc>
          <w:tcPr>
            <w:tcW w:w="4523" w:type="dxa"/>
          </w:tcPr>
          <w:p w:rsidR="001F73E6" w:rsidRPr="001F73E6" w:rsidRDefault="001F73E6" w:rsidP="005C067C">
            <w:pPr>
              <w:rPr>
                <w:szCs w:val="20"/>
              </w:rPr>
            </w:pPr>
            <w:proofErr w:type="gramStart"/>
            <w:r w:rsidRPr="001F73E6">
              <w:rPr>
                <w:szCs w:val="20"/>
              </w:rPr>
              <w:t>cut</w:t>
            </w:r>
            <w:proofErr w:type="gramEnd"/>
            <w:r w:rsidRPr="001F73E6">
              <w:rPr>
                <w:szCs w:val="20"/>
              </w:rPr>
              <w:t xml:space="preserve"> 3</w:t>
            </w:r>
          </w:p>
        </w:tc>
        <w:tc>
          <w:tcPr>
            <w:tcW w:w="2477" w:type="dxa"/>
          </w:tcPr>
          <w:p w:rsidR="001F73E6" w:rsidRPr="001F73E6" w:rsidRDefault="001F73E6" w:rsidP="005C067C">
            <w:pPr>
              <w:jc w:val="center"/>
            </w:pPr>
            <w:r w:rsidRPr="001F73E6">
              <w:t>.972 (.207)</w:t>
            </w:r>
          </w:p>
        </w:tc>
      </w:tr>
      <w:tr w:rsidR="001F73E6" w:rsidRPr="001F73E6">
        <w:trPr>
          <w:jc w:val="center"/>
        </w:trPr>
        <w:tc>
          <w:tcPr>
            <w:tcW w:w="4523" w:type="dxa"/>
          </w:tcPr>
          <w:p w:rsidR="001F73E6" w:rsidRPr="001F73E6" w:rsidRDefault="001F73E6" w:rsidP="005C067C">
            <w:pPr>
              <w:rPr>
                <w:szCs w:val="20"/>
              </w:rPr>
            </w:pPr>
            <w:proofErr w:type="gramStart"/>
            <w:r w:rsidRPr="001F73E6">
              <w:rPr>
                <w:szCs w:val="20"/>
              </w:rPr>
              <w:t>cut</w:t>
            </w:r>
            <w:proofErr w:type="gramEnd"/>
            <w:r w:rsidRPr="001F73E6">
              <w:rPr>
                <w:szCs w:val="20"/>
              </w:rPr>
              <w:t xml:space="preserve"> 4</w:t>
            </w:r>
          </w:p>
        </w:tc>
        <w:tc>
          <w:tcPr>
            <w:tcW w:w="2477" w:type="dxa"/>
          </w:tcPr>
          <w:p w:rsidR="001F73E6" w:rsidRPr="001F73E6" w:rsidRDefault="001F73E6" w:rsidP="005C067C">
            <w:pPr>
              <w:jc w:val="center"/>
            </w:pPr>
            <w:r w:rsidRPr="001F73E6">
              <w:t>1.216 (.208)</w:t>
            </w:r>
          </w:p>
        </w:tc>
      </w:tr>
      <w:tr w:rsidR="001F73E6" w:rsidRPr="001F73E6">
        <w:trPr>
          <w:jc w:val="center"/>
        </w:trPr>
        <w:tc>
          <w:tcPr>
            <w:tcW w:w="4523" w:type="dxa"/>
          </w:tcPr>
          <w:p w:rsidR="001F73E6" w:rsidRPr="001F73E6" w:rsidRDefault="001F73E6" w:rsidP="005C067C">
            <w:pPr>
              <w:rPr>
                <w:szCs w:val="20"/>
              </w:rPr>
            </w:pPr>
            <w:proofErr w:type="gramStart"/>
            <w:r w:rsidRPr="001F73E6">
              <w:rPr>
                <w:szCs w:val="20"/>
              </w:rPr>
              <w:t>cut</w:t>
            </w:r>
            <w:proofErr w:type="gramEnd"/>
            <w:r w:rsidRPr="001F73E6">
              <w:rPr>
                <w:szCs w:val="20"/>
              </w:rPr>
              <w:t xml:space="preserve"> 5</w:t>
            </w:r>
          </w:p>
        </w:tc>
        <w:tc>
          <w:tcPr>
            <w:tcW w:w="2477" w:type="dxa"/>
          </w:tcPr>
          <w:p w:rsidR="001F73E6" w:rsidRPr="001F73E6" w:rsidRDefault="001F73E6" w:rsidP="005C067C">
            <w:pPr>
              <w:jc w:val="center"/>
            </w:pPr>
            <w:r w:rsidRPr="001F73E6">
              <w:t>1.540 (.210)</w:t>
            </w:r>
          </w:p>
        </w:tc>
      </w:tr>
      <w:tr w:rsidR="001F73E6" w:rsidRPr="001F73E6">
        <w:trPr>
          <w:jc w:val="center"/>
        </w:trPr>
        <w:tc>
          <w:tcPr>
            <w:tcW w:w="4523" w:type="dxa"/>
            <w:tcBorders>
              <w:bottom w:val="single" w:sz="4" w:space="0" w:color="auto"/>
            </w:tcBorders>
          </w:tcPr>
          <w:p w:rsidR="001F73E6" w:rsidRPr="001F73E6" w:rsidRDefault="001F73E6" w:rsidP="005C067C">
            <w:pPr>
              <w:rPr>
                <w:szCs w:val="20"/>
              </w:rPr>
            </w:pPr>
          </w:p>
        </w:tc>
        <w:tc>
          <w:tcPr>
            <w:tcW w:w="2477" w:type="dxa"/>
            <w:tcBorders>
              <w:bottom w:val="single" w:sz="4" w:space="0" w:color="auto"/>
            </w:tcBorders>
          </w:tcPr>
          <w:p w:rsidR="001F73E6" w:rsidRPr="001F73E6" w:rsidRDefault="001F73E6" w:rsidP="005C067C">
            <w:pPr>
              <w:jc w:val="center"/>
            </w:pPr>
          </w:p>
        </w:tc>
      </w:tr>
    </w:tbl>
    <w:p w:rsidR="00B70861" w:rsidRPr="00974A24" w:rsidRDefault="00D01C58" w:rsidP="00D01C58">
      <w:pPr>
        <w:rPr>
          <w:szCs w:val="18"/>
        </w:rPr>
      </w:pPr>
      <w:r w:rsidRPr="001F73E6">
        <w:rPr>
          <w:szCs w:val="18"/>
        </w:rPr>
        <w:t>Note</w:t>
      </w:r>
      <w:r w:rsidR="001F73E6" w:rsidRPr="001F73E6">
        <w:rPr>
          <w:szCs w:val="18"/>
        </w:rPr>
        <w:t>s</w:t>
      </w:r>
      <w:r w:rsidRPr="001F73E6">
        <w:rPr>
          <w:szCs w:val="18"/>
        </w:rPr>
        <w:t xml:space="preserve">: </w:t>
      </w:r>
      <w:r w:rsidR="00974A24" w:rsidRPr="00D55238">
        <w:rPr>
          <w:szCs w:val="18"/>
        </w:rPr>
        <w:t>* p ≤ .10 ** p ≤ .05 *** p ≤ .01</w:t>
      </w:r>
      <w:r w:rsidR="00974A24">
        <w:rPr>
          <w:szCs w:val="18"/>
        </w:rPr>
        <w:t xml:space="preserve">. </w:t>
      </w:r>
      <w:proofErr w:type="gramStart"/>
      <w:r w:rsidR="00632232">
        <w:rPr>
          <w:szCs w:val="18"/>
        </w:rPr>
        <w:t xml:space="preserve">Ordered </w:t>
      </w:r>
      <w:proofErr w:type="spellStart"/>
      <w:r w:rsidR="00632232">
        <w:rPr>
          <w:szCs w:val="18"/>
        </w:rPr>
        <w:t>probit</w:t>
      </w:r>
      <w:proofErr w:type="spellEnd"/>
      <w:r w:rsidR="00632232">
        <w:rPr>
          <w:szCs w:val="18"/>
        </w:rPr>
        <w:t xml:space="preserve"> regression</w:t>
      </w:r>
      <w:r w:rsidRPr="001F73E6">
        <w:rPr>
          <w:szCs w:val="18"/>
        </w:rPr>
        <w:t>.</w:t>
      </w:r>
      <w:proofErr w:type="gramEnd"/>
      <w:r w:rsidRPr="001F73E6">
        <w:rPr>
          <w:szCs w:val="18"/>
        </w:rPr>
        <w:t xml:space="preserve"> Robust standard errors clustered on country reported in parentheses.</w:t>
      </w:r>
      <w:r w:rsidRPr="00D55238">
        <w:rPr>
          <w:szCs w:val="18"/>
        </w:rPr>
        <w:t xml:space="preserve"> All independent variables </w:t>
      </w:r>
      <w:r>
        <w:rPr>
          <w:szCs w:val="18"/>
        </w:rPr>
        <w:t xml:space="preserve">except Restricted Access </w:t>
      </w:r>
      <w:r w:rsidRPr="00D55238">
        <w:rPr>
          <w:szCs w:val="18"/>
        </w:rPr>
        <w:t xml:space="preserve">lagged one period. </w:t>
      </w:r>
    </w:p>
    <w:p w:rsidR="00B70861" w:rsidRDefault="00B70861" w:rsidP="00B70861"/>
    <w:p w:rsidR="00B70861" w:rsidRDefault="00B70861" w:rsidP="00B70861"/>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B9207F" w:rsidP="00B9207F"/>
    <w:p w:rsidR="00B9207F" w:rsidRPr="00B72461" w:rsidRDefault="00E934EA" w:rsidP="00B9207F">
      <w:r>
        <w:rPr>
          <w:noProof/>
        </w:rPr>
        <w:lastRenderedPageBreak/>
        <w:drawing>
          <wp:inline distT="0" distB="0" distL="0" distR="0">
            <wp:extent cx="5479415" cy="4281170"/>
            <wp:effectExtent l="19050" t="0" r="698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479415" cy="4281170"/>
                    </a:xfrm>
                    <a:prstGeom prst="rect">
                      <a:avLst/>
                    </a:prstGeom>
                    <a:noFill/>
                    <a:ln w="9525">
                      <a:noFill/>
                      <a:miter lim="800000"/>
                      <a:headEnd/>
                      <a:tailEnd/>
                    </a:ln>
                  </pic:spPr>
                </pic:pic>
              </a:graphicData>
            </a:graphic>
          </wp:inline>
        </w:drawing>
      </w:r>
    </w:p>
    <w:p w:rsidR="00B9207F" w:rsidRPr="00B72461" w:rsidRDefault="00B9207F" w:rsidP="00B9207F"/>
    <w:p w:rsidR="00457E4E" w:rsidRDefault="00E934EA">
      <w:pPr>
        <w:rPr>
          <w:color w:val="000000"/>
        </w:rPr>
      </w:pPr>
      <w:r>
        <w:rPr>
          <w:noProof/>
          <w:color w:val="000000"/>
        </w:rPr>
        <w:drawing>
          <wp:inline distT="0" distB="0" distL="0" distR="0">
            <wp:extent cx="4558030" cy="332486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558030" cy="3324860"/>
                    </a:xfrm>
                    <a:prstGeom prst="rect">
                      <a:avLst/>
                    </a:prstGeom>
                    <a:noFill/>
                    <a:ln w="9525">
                      <a:noFill/>
                      <a:miter lim="800000"/>
                      <a:headEnd/>
                      <a:tailEnd/>
                    </a:ln>
                  </pic:spPr>
                </pic:pic>
              </a:graphicData>
            </a:graphic>
          </wp:inline>
        </w:drawing>
      </w:r>
    </w:p>
    <w:sectPr w:rsidR="00457E4E" w:rsidSect="004E33B4">
      <w:footerReference w:type="even" r:id="rId22"/>
      <w:footerReference w:type="default" r:id="rId23"/>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5A" w:rsidRDefault="00EE185A" w:rsidP="009F33EC">
      <w:r>
        <w:separator/>
      </w:r>
    </w:p>
  </w:endnote>
  <w:endnote w:type="continuationSeparator" w:id="0">
    <w:p w:rsidR="00EE185A" w:rsidRDefault="00EE185A" w:rsidP="009F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MR1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5A" w:rsidRDefault="00EE185A" w:rsidP="007E43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85A" w:rsidRDefault="00EE18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5A" w:rsidRDefault="00EE185A" w:rsidP="007E43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068">
      <w:rPr>
        <w:rStyle w:val="PageNumber"/>
        <w:noProof/>
      </w:rPr>
      <w:t>9</w:t>
    </w:r>
    <w:r>
      <w:rPr>
        <w:rStyle w:val="PageNumber"/>
      </w:rPr>
      <w:fldChar w:fldCharType="end"/>
    </w:r>
  </w:p>
  <w:p w:rsidR="00EE185A" w:rsidRDefault="00EE18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5A" w:rsidRDefault="00EE185A" w:rsidP="009F33EC">
      <w:r>
        <w:separator/>
      </w:r>
    </w:p>
  </w:footnote>
  <w:footnote w:type="continuationSeparator" w:id="0">
    <w:p w:rsidR="00EE185A" w:rsidRDefault="00EE185A" w:rsidP="009F33EC">
      <w:r>
        <w:continuationSeparator/>
      </w:r>
    </w:p>
  </w:footnote>
  <w:footnote w:id="1">
    <w:p w:rsidR="00EE185A" w:rsidRPr="00FE432E" w:rsidRDefault="00EE185A" w:rsidP="007F28D7">
      <w:pPr>
        <w:pStyle w:val="FootnoteText"/>
        <w:jc w:val="both"/>
        <w:rPr>
          <w:sz w:val="20"/>
          <w:szCs w:val="20"/>
        </w:rPr>
      </w:pPr>
      <w:r w:rsidRPr="00FE432E">
        <w:rPr>
          <w:rStyle w:val="FootnoteReference"/>
          <w:sz w:val="20"/>
          <w:szCs w:val="20"/>
        </w:rPr>
        <w:footnoteRef/>
      </w:r>
      <w:r w:rsidRPr="00FE432E">
        <w:rPr>
          <w:sz w:val="20"/>
          <w:szCs w:val="20"/>
        </w:rPr>
        <w:t xml:space="preserve"> Following United States Code, title 22, chapter 38, sec. 2656f(d), we define terrorism as </w:t>
      </w:r>
      <w:r w:rsidRPr="00D55238">
        <w:rPr>
          <w:sz w:val="20"/>
        </w:rPr>
        <w:t xml:space="preserve">the use </w:t>
      </w:r>
      <w:r>
        <w:rPr>
          <w:sz w:val="20"/>
        </w:rPr>
        <w:t xml:space="preserve">of </w:t>
      </w:r>
      <w:r w:rsidRPr="00D55238">
        <w:rPr>
          <w:sz w:val="20"/>
        </w:rPr>
        <w:t>“premeditated, politically motivated violence against noncombatant targets by sub-national groups or clandestine agents, usually intended to influence an audience.”</w:t>
      </w:r>
    </w:p>
  </w:footnote>
  <w:footnote w:id="2">
    <w:p w:rsidR="00EE185A" w:rsidRPr="0098241A" w:rsidRDefault="00EE185A" w:rsidP="0098241A">
      <w:pPr>
        <w:pStyle w:val="FootnoteText"/>
        <w:rPr>
          <w:sz w:val="20"/>
        </w:rPr>
      </w:pPr>
      <w:r>
        <w:rPr>
          <w:rStyle w:val="FootnoteReference"/>
        </w:rPr>
        <w:footnoteRef/>
      </w:r>
      <w:r>
        <w:t xml:space="preserve"> </w:t>
      </w:r>
      <w:r w:rsidRPr="00732272">
        <w:rPr>
          <w:sz w:val="20"/>
          <w:szCs w:val="20"/>
        </w:rPr>
        <w:t xml:space="preserve">Although there is popular debate about the quality of intelligence produced when detainees are questioned under duress, there are few systematic studies addressing this question. Johnson and Ryan (2013) provide an </w:t>
      </w:r>
      <w:r w:rsidRPr="0098241A">
        <w:rPr>
          <w:sz w:val="20"/>
          <w:szCs w:val="20"/>
        </w:rPr>
        <w:t xml:space="preserve">overview of the (lack of) systematic research in this area and show that coercive interrogation results in a higher quantity of accurate </w:t>
      </w:r>
      <w:r w:rsidRPr="0098241A">
        <w:rPr>
          <w:i/>
          <w:sz w:val="20"/>
          <w:szCs w:val="20"/>
        </w:rPr>
        <w:t>and</w:t>
      </w:r>
      <w:r w:rsidRPr="0098241A">
        <w:rPr>
          <w:sz w:val="20"/>
          <w:szCs w:val="20"/>
        </w:rPr>
        <w:t xml:space="preserve"> a higher quantity of inaccurate intelligence information.   </w:t>
      </w:r>
    </w:p>
  </w:footnote>
  <w:footnote w:id="3">
    <w:p w:rsidR="00EE185A" w:rsidRPr="0098241A" w:rsidRDefault="00EE185A" w:rsidP="0098241A">
      <w:pPr>
        <w:pStyle w:val="FootnoteText"/>
        <w:jc w:val="both"/>
        <w:rPr>
          <w:sz w:val="20"/>
          <w:szCs w:val="20"/>
        </w:rPr>
      </w:pPr>
      <w:r w:rsidRPr="0098241A">
        <w:rPr>
          <w:rStyle w:val="FootnoteReference"/>
          <w:sz w:val="20"/>
          <w:szCs w:val="20"/>
        </w:rPr>
        <w:footnoteRef/>
      </w:r>
      <w:r w:rsidRPr="0098241A">
        <w:rPr>
          <w:sz w:val="20"/>
          <w:szCs w:val="20"/>
        </w:rPr>
        <w:t xml:space="preserve"> For a discussion of the effect of indiscriminate violence on insurgent mobilization, see Mason and </w:t>
      </w:r>
      <w:proofErr w:type="spellStart"/>
      <w:r w:rsidRPr="0098241A">
        <w:rPr>
          <w:sz w:val="20"/>
          <w:szCs w:val="20"/>
        </w:rPr>
        <w:t>Krain</w:t>
      </w:r>
      <w:proofErr w:type="spellEnd"/>
      <w:r w:rsidRPr="0098241A">
        <w:rPr>
          <w:sz w:val="20"/>
          <w:szCs w:val="20"/>
        </w:rPr>
        <w:t xml:space="preserve"> (1989), </w:t>
      </w:r>
      <w:proofErr w:type="spellStart"/>
      <w:r w:rsidRPr="0098241A">
        <w:rPr>
          <w:sz w:val="20"/>
          <w:szCs w:val="20"/>
        </w:rPr>
        <w:t>Kalyvas</w:t>
      </w:r>
      <w:proofErr w:type="spellEnd"/>
      <w:r w:rsidRPr="0098241A">
        <w:rPr>
          <w:sz w:val="20"/>
          <w:szCs w:val="20"/>
        </w:rPr>
        <w:t xml:space="preserve"> (2006), and Sullivan (2011). </w:t>
      </w:r>
    </w:p>
  </w:footnote>
  <w:footnote w:id="4">
    <w:p w:rsidR="00EE185A" w:rsidRPr="0098241A" w:rsidRDefault="00EE185A" w:rsidP="0098241A">
      <w:pPr>
        <w:jc w:val="both"/>
        <w:rPr>
          <w:sz w:val="20"/>
        </w:rPr>
      </w:pPr>
      <w:r w:rsidRPr="0098241A">
        <w:rPr>
          <w:rStyle w:val="FootnoteReference"/>
          <w:sz w:val="20"/>
        </w:rPr>
        <w:footnoteRef/>
      </w:r>
      <w:r w:rsidRPr="0098241A">
        <w:rPr>
          <w:sz w:val="20"/>
        </w:rPr>
        <w:t xml:space="preserve"> </w:t>
      </w:r>
      <w:r>
        <w:rPr>
          <w:sz w:val="20"/>
        </w:rPr>
        <w:t>T</w:t>
      </w:r>
      <w:r w:rsidRPr="0098241A">
        <w:rPr>
          <w:sz w:val="20"/>
        </w:rPr>
        <w:t xml:space="preserve">he experience of a terrorist attack </w:t>
      </w:r>
      <w:r>
        <w:rPr>
          <w:sz w:val="20"/>
        </w:rPr>
        <w:t>may also</w:t>
      </w:r>
      <w:r w:rsidRPr="0098241A">
        <w:rPr>
          <w:sz w:val="20"/>
        </w:rPr>
        <w:t xml:space="preserve"> alter institutional and public norms in favor of torture, prompting political leaders, heads of bureaucracies, and the public to grant counterterrorism officials wider leeway in dealing with terrorists and terror suspects (Danner 2009).</w:t>
      </w:r>
    </w:p>
    <w:p w:rsidR="00EE185A" w:rsidRDefault="00EE185A">
      <w:pPr>
        <w:pStyle w:val="FootnoteText"/>
      </w:pPr>
    </w:p>
  </w:footnote>
  <w:footnote w:id="5">
    <w:p w:rsidR="00EE185A" w:rsidRPr="0031259F" w:rsidRDefault="00EE185A">
      <w:pPr>
        <w:pStyle w:val="FootnoteText"/>
        <w:rPr>
          <w:sz w:val="20"/>
          <w:szCs w:val="20"/>
        </w:rPr>
      </w:pPr>
      <w:r w:rsidRPr="00720FB7">
        <w:rPr>
          <w:rStyle w:val="FootnoteReference"/>
          <w:sz w:val="20"/>
          <w:szCs w:val="20"/>
        </w:rPr>
        <w:footnoteRef/>
      </w:r>
      <w:r w:rsidRPr="00720FB7">
        <w:rPr>
          <w:sz w:val="20"/>
          <w:szCs w:val="20"/>
        </w:rPr>
        <w:t xml:space="preserve"> For conflicting views on the likelihood of terrorism resulting in state concessions, see </w:t>
      </w:r>
      <w:proofErr w:type="spellStart"/>
      <w:r w:rsidRPr="00720FB7">
        <w:rPr>
          <w:sz w:val="20"/>
          <w:szCs w:val="20"/>
        </w:rPr>
        <w:t>Pape</w:t>
      </w:r>
      <w:proofErr w:type="spellEnd"/>
      <w:r w:rsidRPr="00720FB7">
        <w:rPr>
          <w:sz w:val="20"/>
          <w:szCs w:val="20"/>
        </w:rPr>
        <w:t xml:space="preserve"> (2003)</w:t>
      </w:r>
      <w:r w:rsidRPr="003C696F">
        <w:rPr>
          <w:sz w:val="20"/>
          <w:szCs w:val="20"/>
        </w:rPr>
        <w:t xml:space="preserve">, </w:t>
      </w:r>
      <w:proofErr w:type="spellStart"/>
      <w:r w:rsidRPr="003C696F">
        <w:rPr>
          <w:sz w:val="20"/>
          <w:szCs w:val="20"/>
        </w:rPr>
        <w:t>Bueno</w:t>
      </w:r>
      <w:proofErr w:type="spellEnd"/>
      <w:r w:rsidRPr="003C696F">
        <w:rPr>
          <w:sz w:val="20"/>
          <w:szCs w:val="20"/>
        </w:rPr>
        <w:t xml:space="preserve"> de </w:t>
      </w:r>
      <w:proofErr w:type="spellStart"/>
      <w:r w:rsidRPr="003C696F">
        <w:rPr>
          <w:sz w:val="20"/>
          <w:szCs w:val="20"/>
        </w:rPr>
        <w:t>Mesquita</w:t>
      </w:r>
      <w:proofErr w:type="spellEnd"/>
      <w:r w:rsidRPr="003C696F">
        <w:rPr>
          <w:sz w:val="20"/>
          <w:szCs w:val="20"/>
        </w:rPr>
        <w:t xml:space="preserve"> (2005),</w:t>
      </w:r>
      <w:r w:rsidRPr="00720FB7">
        <w:rPr>
          <w:sz w:val="20"/>
          <w:szCs w:val="20"/>
        </w:rPr>
        <w:t xml:space="preserve"> and </w:t>
      </w:r>
      <w:proofErr w:type="spellStart"/>
      <w:r w:rsidRPr="00720FB7">
        <w:rPr>
          <w:sz w:val="20"/>
          <w:szCs w:val="20"/>
        </w:rPr>
        <w:t>Abrahms</w:t>
      </w:r>
      <w:proofErr w:type="spellEnd"/>
      <w:r>
        <w:rPr>
          <w:sz w:val="20"/>
          <w:szCs w:val="20"/>
        </w:rPr>
        <w:t xml:space="preserve"> </w:t>
      </w:r>
      <w:r w:rsidRPr="00720FB7">
        <w:rPr>
          <w:sz w:val="20"/>
          <w:szCs w:val="20"/>
        </w:rPr>
        <w:t>(2006).</w:t>
      </w:r>
    </w:p>
  </w:footnote>
  <w:footnote w:id="6">
    <w:p w:rsidR="00EE185A" w:rsidRPr="00701537" w:rsidRDefault="00EE185A" w:rsidP="007F28D7">
      <w:pPr>
        <w:pStyle w:val="FootnoteText"/>
        <w:jc w:val="both"/>
        <w:rPr>
          <w:sz w:val="20"/>
          <w:szCs w:val="20"/>
        </w:rPr>
      </w:pPr>
      <w:r w:rsidRPr="00720FB7">
        <w:rPr>
          <w:rStyle w:val="FootnoteReference"/>
          <w:sz w:val="20"/>
          <w:szCs w:val="20"/>
        </w:rPr>
        <w:footnoteRef/>
      </w:r>
      <w:r>
        <w:rPr>
          <w:sz w:val="20"/>
          <w:szCs w:val="20"/>
        </w:rPr>
        <w:t xml:space="preserve"> See also Davenport, Moore, and</w:t>
      </w:r>
      <w:r w:rsidRPr="00720FB7">
        <w:rPr>
          <w:sz w:val="20"/>
          <w:szCs w:val="20"/>
        </w:rPr>
        <w:t xml:space="preserve"> Armstrong (2007)</w:t>
      </w:r>
      <w:r>
        <w:rPr>
          <w:sz w:val="20"/>
          <w:szCs w:val="20"/>
        </w:rPr>
        <w:t xml:space="preserve"> and Conrad and</w:t>
      </w:r>
      <w:r w:rsidRPr="00720FB7">
        <w:rPr>
          <w:sz w:val="20"/>
          <w:szCs w:val="20"/>
        </w:rPr>
        <w:t xml:space="preserve"> Moore (2010).</w:t>
      </w:r>
    </w:p>
  </w:footnote>
  <w:footnote w:id="7">
    <w:p w:rsidR="00EE185A" w:rsidRDefault="00EE185A" w:rsidP="007F28D7">
      <w:pPr>
        <w:pStyle w:val="FootnoteText"/>
        <w:jc w:val="both"/>
      </w:pPr>
      <w:r w:rsidRPr="00AA5487">
        <w:rPr>
          <w:rStyle w:val="FootnoteReference"/>
          <w:sz w:val="20"/>
          <w:szCs w:val="20"/>
        </w:rPr>
        <w:footnoteRef/>
      </w:r>
      <w:r w:rsidRPr="00AA5487">
        <w:rPr>
          <w:sz w:val="20"/>
          <w:szCs w:val="20"/>
        </w:rPr>
        <w:t xml:space="preserve"> </w:t>
      </w:r>
      <w:proofErr w:type="spellStart"/>
      <w:r w:rsidRPr="00AA5487">
        <w:rPr>
          <w:sz w:val="20"/>
          <w:szCs w:val="20"/>
        </w:rPr>
        <w:t>DiMarco</w:t>
      </w:r>
      <w:proofErr w:type="spellEnd"/>
      <w:r w:rsidRPr="00AA5487">
        <w:rPr>
          <w:sz w:val="20"/>
          <w:szCs w:val="20"/>
        </w:rPr>
        <w:t xml:space="preserve"> (2006) </w:t>
      </w:r>
      <w:r>
        <w:rPr>
          <w:sz w:val="20"/>
          <w:szCs w:val="20"/>
        </w:rPr>
        <w:t xml:space="preserve">argues </w:t>
      </w:r>
      <w:r w:rsidRPr="00AA5487">
        <w:rPr>
          <w:sz w:val="20"/>
          <w:szCs w:val="20"/>
        </w:rPr>
        <w:t xml:space="preserve">that </w:t>
      </w:r>
      <w:r>
        <w:rPr>
          <w:sz w:val="20"/>
          <w:szCs w:val="20"/>
        </w:rPr>
        <w:t>practice</w:t>
      </w:r>
      <w:r w:rsidRPr="00AA5487">
        <w:rPr>
          <w:sz w:val="20"/>
          <w:szCs w:val="20"/>
        </w:rPr>
        <w:t xml:space="preserve"> was not offic</w:t>
      </w:r>
      <w:r>
        <w:rPr>
          <w:sz w:val="20"/>
          <w:szCs w:val="20"/>
        </w:rPr>
        <w:t>ial doctrine of the French Army</w:t>
      </w:r>
      <w:r w:rsidRPr="00AA5487">
        <w:rPr>
          <w:sz w:val="20"/>
          <w:szCs w:val="20"/>
        </w:rPr>
        <w:t xml:space="preserve"> and was </w:t>
      </w:r>
      <w:r>
        <w:rPr>
          <w:sz w:val="20"/>
          <w:szCs w:val="20"/>
        </w:rPr>
        <w:t xml:space="preserve">instead </w:t>
      </w:r>
      <w:r w:rsidRPr="00AA5487">
        <w:rPr>
          <w:sz w:val="20"/>
          <w:szCs w:val="20"/>
        </w:rPr>
        <w:t>carried out by individual military leaders.</w:t>
      </w:r>
      <w:r>
        <w:rPr>
          <w:sz w:val="20"/>
          <w:szCs w:val="20"/>
        </w:rPr>
        <w:t xml:space="preserve"> This argument is consistent with an agency view of torture (Conrad and Moore 2010), in which leaders delegate the acquisition of information to interrogators, who may engage in human rights violations even when they are not explicitly instructed to do so.</w:t>
      </w:r>
    </w:p>
  </w:footnote>
  <w:footnote w:id="8">
    <w:p w:rsidR="00EE185A" w:rsidRPr="00D95A80" w:rsidRDefault="00EE185A" w:rsidP="007F28D7">
      <w:pPr>
        <w:pStyle w:val="FootnoteText"/>
        <w:jc w:val="both"/>
        <w:rPr>
          <w:sz w:val="20"/>
          <w:szCs w:val="20"/>
        </w:rPr>
      </w:pPr>
      <w:r w:rsidRPr="00D95A80">
        <w:rPr>
          <w:rStyle w:val="FootnoteReference"/>
          <w:sz w:val="20"/>
          <w:szCs w:val="20"/>
        </w:rPr>
        <w:footnoteRef/>
      </w:r>
      <w:r w:rsidRPr="00D95A80">
        <w:rPr>
          <w:sz w:val="20"/>
          <w:szCs w:val="20"/>
        </w:rPr>
        <w:t xml:space="preserve"> The </w:t>
      </w:r>
      <w:r>
        <w:rPr>
          <w:sz w:val="20"/>
          <w:szCs w:val="20"/>
        </w:rPr>
        <w:t>exceptional situation is in cases where national militaries face severe domestic insurgencies and civil wars. Because of this possibility, we control for magnitude of civil war deaths in our empirical tests.</w:t>
      </w:r>
    </w:p>
  </w:footnote>
  <w:footnote w:id="9">
    <w:p w:rsidR="00EE185A" w:rsidRDefault="00EE185A">
      <w:pPr>
        <w:jc w:val="both"/>
        <w:rPr>
          <w:sz w:val="20"/>
        </w:rPr>
      </w:pPr>
      <w:r w:rsidRPr="00D55238">
        <w:rPr>
          <w:rStyle w:val="FootnoteReference"/>
          <w:sz w:val="20"/>
        </w:rPr>
        <w:footnoteRef/>
      </w:r>
      <w:r w:rsidRPr="00D55238">
        <w:rPr>
          <w:sz w:val="20"/>
        </w:rPr>
        <w:t xml:space="preserve"> </w:t>
      </w:r>
      <w:proofErr w:type="spellStart"/>
      <w:r w:rsidRPr="00D55238">
        <w:rPr>
          <w:sz w:val="20"/>
        </w:rPr>
        <w:t>Feaver</w:t>
      </w:r>
      <w:proofErr w:type="spellEnd"/>
      <w:r w:rsidRPr="00D55238">
        <w:rPr>
          <w:sz w:val="20"/>
        </w:rPr>
        <w:t xml:space="preserve"> (2003) acknowledges that this situation</w:t>
      </w:r>
      <w:r>
        <w:rPr>
          <w:sz w:val="20"/>
        </w:rPr>
        <w:t xml:space="preserve"> potentially creates a dilemma.</w:t>
      </w:r>
      <w:r w:rsidRPr="00D55238">
        <w:rPr>
          <w:sz w:val="20"/>
        </w:rPr>
        <w:t xml:space="preserve"> Civilians desire the security goods derived from granting autonomy to militaries fighting terrorists, but they become less able to monitor and check the behavior of military actors.  </w:t>
      </w:r>
    </w:p>
  </w:footnote>
  <w:footnote w:id="10">
    <w:p w:rsidR="00EE185A" w:rsidRDefault="00EE185A" w:rsidP="007F28D7">
      <w:pPr>
        <w:pStyle w:val="FootnoteText"/>
        <w:jc w:val="both"/>
      </w:pPr>
      <w:r>
        <w:rPr>
          <w:rStyle w:val="FootnoteReference"/>
        </w:rPr>
        <w:footnoteRef/>
      </w:r>
      <w:r>
        <w:t xml:space="preserve"> </w:t>
      </w:r>
      <w:r>
        <w:rPr>
          <w:rFonts w:ascii="Times" w:hAnsi="Times" w:cs="Times"/>
          <w:color w:val="000000"/>
          <w:sz w:val="20"/>
          <w:szCs w:val="20"/>
        </w:rPr>
        <w:t xml:space="preserve">Mark Danner (2004, 10) argues that the United States engages in torture because of terrorism: “Since the attacks of September 11, 2001, officials of the United States at various locations around the world, from </w:t>
      </w:r>
      <w:proofErr w:type="spellStart"/>
      <w:r>
        <w:rPr>
          <w:rFonts w:ascii="Times" w:hAnsi="Times" w:cs="Times"/>
          <w:color w:val="000000"/>
          <w:sz w:val="20"/>
          <w:szCs w:val="20"/>
        </w:rPr>
        <w:t>Bagram</w:t>
      </w:r>
      <w:proofErr w:type="spellEnd"/>
      <w:r>
        <w:rPr>
          <w:rFonts w:ascii="Times" w:hAnsi="Times" w:cs="Times"/>
          <w:color w:val="000000"/>
          <w:sz w:val="20"/>
          <w:szCs w:val="20"/>
        </w:rPr>
        <w:t xml:space="preserve"> in Afghanistan to Guantanamo in Cuba to Abu Ghraib in Iraq, have been torturing prisoners.” </w:t>
      </w:r>
    </w:p>
  </w:footnote>
  <w:footnote w:id="11">
    <w:p w:rsidR="00EE185A" w:rsidRDefault="00EE185A" w:rsidP="007F28D7">
      <w:pPr>
        <w:pStyle w:val="FootnoteText"/>
        <w:jc w:val="both"/>
      </w:pPr>
      <w:r>
        <w:rPr>
          <w:rStyle w:val="FootnoteReference"/>
        </w:rPr>
        <w:footnoteRef/>
      </w:r>
      <w:r>
        <w:t xml:space="preserve"> </w:t>
      </w:r>
      <w:r>
        <w:rPr>
          <w:sz w:val="20"/>
        </w:rPr>
        <w:t>Furthermore, w</w:t>
      </w:r>
      <w:r w:rsidRPr="00A20EA9">
        <w:rPr>
          <w:sz w:val="20"/>
        </w:rPr>
        <w:t xml:space="preserve">ide majorities view </w:t>
      </w:r>
      <w:r>
        <w:rPr>
          <w:sz w:val="20"/>
        </w:rPr>
        <w:t xml:space="preserve">transnational </w:t>
      </w:r>
      <w:r w:rsidRPr="00A20EA9">
        <w:rPr>
          <w:sz w:val="20"/>
        </w:rPr>
        <w:t>terrorism to be a greater threat than domestic terrorism</w:t>
      </w:r>
      <w:r>
        <w:rPr>
          <w:sz w:val="20"/>
        </w:rPr>
        <w:t xml:space="preserve"> (Newsweek 2007</w:t>
      </w:r>
      <w:r w:rsidRPr="00A20EA9">
        <w:rPr>
          <w:sz w:val="20"/>
        </w:rPr>
        <w:t>)</w:t>
      </w:r>
      <w:r>
        <w:rPr>
          <w:sz w:val="20"/>
        </w:rPr>
        <w:t>.</w:t>
      </w:r>
    </w:p>
  </w:footnote>
  <w:footnote w:id="12">
    <w:p w:rsidR="00EE185A" w:rsidRPr="007845A7" w:rsidRDefault="00EE185A" w:rsidP="007F28D7">
      <w:pPr>
        <w:pStyle w:val="FootnoteText"/>
        <w:jc w:val="both"/>
        <w:rPr>
          <w:sz w:val="20"/>
        </w:rPr>
      </w:pPr>
      <w:r w:rsidRPr="007845A7">
        <w:rPr>
          <w:rStyle w:val="FootnoteReference"/>
          <w:sz w:val="20"/>
        </w:rPr>
        <w:footnoteRef/>
      </w:r>
      <w:r w:rsidRPr="007845A7">
        <w:rPr>
          <w:sz w:val="20"/>
        </w:rPr>
        <w:t xml:space="preserve"> </w:t>
      </w:r>
      <w:r>
        <w:rPr>
          <w:sz w:val="20"/>
        </w:rPr>
        <w:t>Recent surveys show</w:t>
      </w:r>
      <w:r w:rsidRPr="007845A7">
        <w:rPr>
          <w:sz w:val="20"/>
        </w:rPr>
        <w:t xml:space="preserve"> that while pluralities of the </w:t>
      </w:r>
      <w:r>
        <w:rPr>
          <w:sz w:val="20"/>
        </w:rPr>
        <w:t>US</w:t>
      </w:r>
      <w:r w:rsidRPr="007845A7">
        <w:rPr>
          <w:sz w:val="20"/>
        </w:rPr>
        <w:t xml:space="preserve"> public object to many of the controversial counterterrorism practices put in place after the 9/11 terrorist attacks (</w:t>
      </w:r>
      <w:r>
        <w:rPr>
          <w:sz w:val="20"/>
        </w:rPr>
        <w:t xml:space="preserve">e.g., </w:t>
      </w:r>
      <w:proofErr w:type="spellStart"/>
      <w:r>
        <w:rPr>
          <w:sz w:val="20"/>
        </w:rPr>
        <w:t>Gronke</w:t>
      </w:r>
      <w:proofErr w:type="spellEnd"/>
      <w:r>
        <w:rPr>
          <w:sz w:val="20"/>
        </w:rPr>
        <w:t xml:space="preserve"> et</w:t>
      </w:r>
      <w:r w:rsidRPr="007845A7">
        <w:rPr>
          <w:sz w:val="20"/>
        </w:rPr>
        <w:t xml:space="preserve"> al</w:t>
      </w:r>
      <w:r>
        <w:rPr>
          <w:sz w:val="20"/>
        </w:rPr>
        <w:t>.</w:t>
      </w:r>
      <w:r w:rsidRPr="007845A7">
        <w:rPr>
          <w:sz w:val="20"/>
        </w:rPr>
        <w:t xml:space="preserve"> 2010), pluralities support </w:t>
      </w:r>
      <w:r>
        <w:rPr>
          <w:sz w:val="20"/>
        </w:rPr>
        <w:t xml:space="preserve">the </w:t>
      </w:r>
      <w:r w:rsidRPr="007845A7">
        <w:rPr>
          <w:sz w:val="20"/>
        </w:rPr>
        <w:t>arrest without charge and indefinite detention for foreign-born Muslim terrorism suspects</w:t>
      </w:r>
      <w:r>
        <w:rPr>
          <w:sz w:val="20"/>
        </w:rPr>
        <w:t xml:space="preserve"> </w:t>
      </w:r>
      <w:r w:rsidRPr="00A20EA9">
        <w:rPr>
          <w:sz w:val="20"/>
        </w:rPr>
        <w:t>(</w:t>
      </w:r>
      <w:r>
        <w:rPr>
          <w:sz w:val="20"/>
        </w:rPr>
        <w:t xml:space="preserve">Newsweek </w:t>
      </w:r>
      <w:r w:rsidRPr="00A20EA9">
        <w:rPr>
          <w:sz w:val="20"/>
        </w:rPr>
        <w:t>2007)</w:t>
      </w:r>
      <w:r>
        <w:rPr>
          <w:sz w:val="20"/>
        </w:rPr>
        <w:t>.</w:t>
      </w:r>
    </w:p>
  </w:footnote>
  <w:footnote w:id="13">
    <w:p w:rsidR="00EE185A" w:rsidRPr="00732272" w:rsidRDefault="00EE185A">
      <w:pPr>
        <w:pStyle w:val="FootnoteText"/>
        <w:rPr>
          <w:sz w:val="20"/>
          <w:szCs w:val="20"/>
        </w:rPr>
      </w:pPr>
      <w:r>
        <w:rPr>
          <w:rStyle w:val="FootnoteReference"/>
        </w:rPr>
        <w:footnoteRef/>
      </w:r>
      <w:r>
        <w:t xml:space="preserve"> </w:t>
      </w:r>
      <w:proofErr w:type="gramStart"/>
      <w:r>
        <w:rPr>
          <w:sz w:val="20"/>
          <w:szCs w:val="20"/>
        </w:rPr>
        <w:t>Country-year observations</w:t>
      </w:r>
      <w:proofErr w:type="gramEnd"/>
      <w:r>
        <w:rPr>
          <w:sz w:val="20"/>
          <w:szCs w:val="20"/>
        </w:rPr>
        <w:t xml:space="preserve"> in cross-national time series analyses presents several limitations, not the least of which is that it can present an over-aggregated view that obscures temporal and sub-national granularities.  However, our use of a country-year unit of analysis is driven by data formatting of our main dependent variable: the ITT codes are formatted in country-years reflecting publication cycles of Amnesty country reports. </w:t>
      </w:r>
    </w:p>
  </w:footnote>
  <w:footnote w:id="14">
    <w:p w:rsidR="00EE185A" w:rsidRPr="00732272" w:rsidRDefault="00EE185A" w:rsidP="00732272">
      <w:pPr>
        <w:widowControl w:val="0"/>
        <w:autoSpaceDE w:val="0"/>
        <w:autoSpaceDN w:val="0"/>
        <w:adjustRightInd w:val="0"/>
        <w:rPr>
          <w:sz w:val="20"/>
          <w:szCs w:val="20"/>
        </w:rPr>
      </w:pPr>
      <w:r w:rsidRPr="002C0A85">
        <w:rPr>
          <w:rStyle w:val="FootnoteReference"/>
          <w:sz w:val="20"/>
          <w:szCs w:val="20"/>
        </w:rPr>
        <w:footnoteRef/>
      </w:r>
      <w:r w:rsidRPr="00732272">
        <w:rPr>
          <w:sz w:val="20"/>
          <w:szCs w:val="20"/>
          <w:vertAlign w:val="superscript"/>
        </w:rPr>
        <w:t xml:space="preserve"> </w:t>
      </w:r>
      <w:r w:rsidRPr="00257DBC">
        <w:rPr>
          <w:color w:val="000000"/>
          <w:sz w:val="20"/>
          <w:szCs w:val="20"/>
        </w:rPr>
        <w:t xml:space="preserve">Because states face incentives to hide their use of torture, the ITT measure is an undercount of actual repressive practices. Although much has been written on under-reporting bias in human rights data (e.g., </w:t>
      </w:r>
      <w:proofErr w:type="spellStart"/>
      <w:r w:rsidRPr="00257DBC">
        <w:rPr>
          <w:color w:val="000000"/>
          <w:sz w:val="20"/>
          <w:szCs w:val="20"/>
        </w:rPr>
        <w:t>Bollen</w:t>
      </w:r>
      <w:proofErr w:type="spellEnd"/>
      <w:r w:rsidRPr="00257DBC">
        <w:rPr>
          <w:color w:val="000000"/>
          <w:sz w:val="20"/>
          <w:szCs w:val="20"/>
        </w:rPr>
        <w:t xml:space="preserve"> 1986, </w:t>
      </w:r>
      <w:proofErr w:type="spellStart"/>
      <w:r w:rsidRPr="00257DBC">
        <w:rPr>
          <w:color w:val="000000"/>
          <w:sz w:val="20"/>
          <w:szCs w:val="20"/>
        </w:rPr>
        <w:t>Spirer</w:t>
      </w:r>
      <w:proofErr w:type="spellEnd"/>
      <w:r w:rsidRPr="00257DBC">
        <w:rPr>
          <w:color w:val="000000"/>
          <w:sz w:val="20"/>
          <w:szCs w:val="20"/>
        </w:rPr>
        <w:t xml:space="preserve"> 1990, </w:t>
      </w:r>
      <w:proofErr w:type="spellStart"/>
      <w:r w:rsidRPr="00257DBC">
        <w:rPr>
          <w:color w:val="000000"/>
          <w:sz w:val="20"/>
          <w:szCs w:val="20"/>
        </w:rPr>
        <w:t>Cingranelli</w:t>
      </w:r>
      <w:proofErr w:type="spellEnd"/>
      <w:r w:rsidRPr="00257DBC">
        <w:rPr>
          <w:color w:val="000000"/>
          <w:sz w:val="20"/>
          <w:szCs w:val="20"/>
        </w:rPr>
        <w:t xml:space="preserve"> and Richards 2001, Goodman and Jinks 2003, Hathaway and Ho 2004), s</w:t>
      </w:r>
      <w:r w:rsidRPr="00732272">
        <w:rPr>
          <w:color w:val="000000"/>
          <w:sz w:val="20"/>
          <w:szCs w:val="20"/>
        </w:rPr>
        <w:t>uch an undercount results in a conservative estimate of the effect of terror on state torture</w:t>
      </w:r>
      <w:r w:rsidRPr="00732272">
        <w:rPr>
          <w:sz w:val="20"/>
          <w:szCs w:val="20"/>
        </w:rPr>
        <w:t xml:space="preserve"> (King, </w:t>
      </w:r>
      <w:proofErr w:type="spellStart"/>
      <w:r w:rsidRPr="00732272">
        <w:rPr>
          <w:sz w:val="20"/>
          <w:szCs w:val="20"/>
        </w:rPr>
        <w:t>Keohane</w:t>
      </w:r>
      <w:proofErr w:type="spellEnd"/>
      <w:r w:rsidRPr="00732272">
        <w:rPr>
          <w:sz w:val="20"/>
          <w:szCs w:val="20"/>
        </w:rPr>
        <w:t xml:space="preserve"> and </w:t>
      </w:r>
      <w:proofErr w:type="spellStart"/>
      <w:r w:rsidRPr="00732272">
        <w:rPr>
          <w:sz w:val="20"/>
          <w:szCs w:val="20"/>
        </w:rPr>
        <w:t>Verba</w:t>
      </w:r>
      <w:proofErr w:type="spellEnd"/>
      <w:r w:rsidRPr="00732272">
        <w:rPr>
          <w:sz w:val="20"/>
          <w:szCs w:val="20"/>
        </w:rPr>
        <w:t xml:space="preserve"> 1994, 130</w:t>
      </w:r>
      <w:r w:rsidRPr="00732272">
        <w:rPr>
          <w:color w:val="000000"/>
          <w:sz w:val="20"/>
          <w:szCs w:val="20"/>
        </w:rPr>
        <w:t>).</w:t>
      </w:r>
    </w:p>
  </w:footnote>
  <w:footnote w:id="15">
    <w:p w:rsidR="00EE185A" w:rsidRPr="00732272" w:rsidRDefault="00EE185A" w:rsidP="007F28D7">
      <w:pPr>
        <w:widowControl w:val="0"/>
        <w:autoSpaceDE w:val="0"/>
        <w:autoSpaceDN w:val="0"/>
        <w:adjustRightInd w:val="0"/>
        <w:jc w:val="both"/>
        <w:rPr>
          <w:sz w:val="20"/>
          <w:szCs w:val="20"/>
        </w:rPr>
      </w:pPr>
      <w:r w:rsidRPr="002C0A85">
        <w:rPr>
          <w:rStyle w:val="FootnoteReference"/>
          <w:sz w:val="20"/>
          <w:szCs w:val="20"/>
        </w:rPr>
        <w:footnoteRef/>
      </w:r>
      <w:r w:rsidRPr="002C0A85">
        <w:rPr>
          <w:sz w:val="20"/>
          <w:szCs w:val="20"/>
        </w:rPr>
        <w:t xml:space="preserve"> </w:t>
      </w:r>
      <w:r w:rsidRPr="002C0A85">
        <w:rPr>
          <w:color w:val="000000"/>
          <w:sz w:val="20"/>
          <w:szCs w:val="20"/>
        </w:rPr>
        <w:t xml:space="preserve">ITT coding and data cleaning rules are described in Conrad and Moore (2010a,b). </w:t>
      </w:r>
    </w:p>
  </w:footnote>
  <w:footnote w:id="16">
    <w:p w:rsidR="00EE185A" w:rsidRPr="00732272" w:rsidRDefault="00EE185A">
      <w:pPr>
        <w:pStyle w:val="FootnoteText"/>
        <w:rPr>
          <w:sz w:val="20"/>
          <w:szCs w:val="20"/>
        </w:rPr>
      </w:pPr>
      <w:r w:rsidRPr="00732272">
        <w:rPr>
          <w:rStyle w:val="FootnoteReference"/>
          <w:sz w:val="20"/>
          <w:szCs w:val="20"/>
        </w:rPr>
        <w:footnoteRef/>
      </w:r>
      <w:r w:rsidRPr="00732272">
        <w:rPr>
          <w:sz w:val="20"/>
          <w:szCs w:val="20"/>
        </w:rPr>
        <w:t xml:space="preserve"> While </w:t>
      </w:r>
      <w:r>
        <w:rPr>
          <w:sz w:val="20"/>
          <w:szCs w:val="20"/>
        </w:rPr>
        <w:t>ITT data permits us to examine torture based on the government agency that engages in it, the database does not differentiate between allegations of so-called “clean” torture – torture that is executed without leaving physical evidence on the bodies of victims – and “scarring” torture.  The inability to consider clean torture allegation is not problematic for our first hypothesis; we would expect the same relationship regardless of whether the state used clean or scaring torture.  Likewise, because democracies are theorized to be more likely to use clean torture (</w:t>
      </w:r>
      <w:proofErr w:type="spellStart"/>
      <w:r>
        <w:rPr>
          <w:sz w:val="20"/>
          <w:szCs w:val="20"/>
        </w:rPr>
        <w:t>Rejali</w:t>
      </w:r>
      <w:proofErr w:type="spellEnd"/>
      <w:r>
        <w:rPr>
          <w:sz w:val="20"/>
          <w:szCs w:val="20"/>
        </w:rPr>
        <w:t xml:space="preserve"> 2007) and are found in our analysis to be more likely to respond to terrorism with increased military torture than non-democracies, and because clean torture is easier for states to hide, our results are likely to be a conservative estimate of the difference between democracies and dictatorships in their responses to terrorist threats. </w:t>
      </w:r>
    </w:p>
  </w:footnote>
  <w:footnote w:id="17">
    <w:p w:rsidR="00EE185A" w:rsidRDefault="00EE185A" w:rsidP="007F28D7">
      <w:pPr>
        <w:pStyle w:val="FootnoteText"/>
        <w:jc w:val="both"/>
      </w:pPr>
      <w:r w:rsidRPr="0036636E">
        <w:rPr>
          <w:rStyle w:val="FootnoteReference"/>
          <w:sz w:val="20"/>
        </w:rPr>
        <w:footnoteRef/>
      </w:r>
      <w:r w:rsidRPr="0036636E">
        <w:rPr>
          <w:sz w:val="20"/>
        </w:rPr>
        <w:t xml:space="preserve"> ITT </w:t>
      </w:r>
      <w:proofErr w:type="spellStart"/>
      <w:r w:rsidRPr="0036636E">
        <w:rPr>
          <w:sz w:val="20"/>
        </w:rPr>
        <w:t>CYAoC</w:t>
      </w:r>
      <w:proofErr w:type="spellEnd"/>
      <w:r w:rsidRPr="0036636E">
        <w:rPr>
          <w:sz w:val="20"/>
        </w:rPr>
        <w:t xml:space="preserve"> data does not include AI allegations of torture that are limited in their temporal or spatial domain (Conrad and Moore 2011</w:t>
      </w:r>
      <w:r>
        <w:rPr>
          <w:sz w:val="20"/>
        </w:rPr>
        <w:t>a</w:t>
      </w:r>
      <w:r w:rsidRPr="0036636E">
        <w:rPr>
          <w:sz w:val="20"/>
        </w:rPr>
        <w:t>).</w:t>
      </w:r>
    </w:p>
  </w:footnote>
  <w:footnote w:id="18">
    <w:p w:rsidR="00EE185A" w:rsidRDefault="00EE185A" w:rsidP="007F28D7">
      <w:pPr>
        <w:pStyle w:val="FootnoteText"/>
        <w:jc w:val="both"/>
      </w:pPr>
      <w:r w:rsidRPr="00EF39DA">
        <w:rPr>
          <w:rStyle w:val="FootnoteReference"/>
          <w:sz w:val="20"/>
          <w:szCs w:val="20"/>
        </w:rPr>
        <w:footnoteRef/>
      </w:r>
      <w:r w:rsidRPr="00EF39DA">
        <w:rPr>
          <w:sz w:val="20"/>
          <w:szCs w:val="20"/>
        </w:rPr>
        <w:t xml:space="preserve"> ITT codes </w:t>
      </w:r>
      <w:proofErr w:type="spellStart"/>
      <w:r w:rsidRPr="00EF39DA">
        <w:rPr>
          <w:sz w:val="20"/>
          <w:szCs w:val="20"/>
        </w:rPr>
        <w:t>LoT</w:t>
      </w:r>
      <w:proofErr w:type="spellEnd"/>
      <w:r w:rsidRPr="00EF39DA">
        <w:rPr>
          <w:sz w:val="20"/>
          <w:szCs w:val="20"/>
        </w:rPr>
        <w:t xml:space="preserve"> as -99 for country-years in which AI alleges torture but does not indicate the severity of its incidence (Conrad and Moore 2011b). In </w:t>
      </w:r>
      <w:r>
        <w:rPr>
          <w:sz w:val="20"/>
          <w:szCs w:val="20"/>
        </w:rPr>
        <w:t xml:space="preserve">the analysis presented here, </w:t>
      </w:r>
      <w:r w:rsidRPr="00EF39DA">
        <w:rPr>
          <w:sz w:val="20"/>
          <w:szCs w:val="20"/>
        </w:rPr>
        <w:t>we re</w:t>
      </w:r>
      <w:r>
        <w:rPr>
          <w:sz w:val="20"/>
          <w:szCs w:val="20"/>
        </w:rPr>
        <w:t xml:space="preserve">code these values to missing. Following the recommendations of Conrad and Moore (2011a), our results are robust to replacing the negative values with the modal </w:t>
      </w:r>
      <w:proofErr w:type="spellStart"/>
      <w:r>
        <w:rPr>
          <w:sz w:val="20"/>
          <w:szCs w:val="20"/>
        </w:rPr>
        <w:t>LoT</w:t>
      </w:r>
      <w:proofErr w:type="spellEnd"/>
      <w:r>
        <w:rPr>
          <w:sz w:val="20"/>
          <w:szCs w:val="20"/>
        </w:rPr>
        <w:t xml:space="preserve"> value for a given country, as well as using the </w:t>
      </w:r>
      <w:proofErr w:type="spellStart"/>
      <w:r>
        <w:rPr>
          <w:sz w:val="20"/>
          <w:szCs w:val="20"/>
        </w:rPr>
        <w:t>Stata</w:t>
      </w:r>
      <w:proofErr w:type="spellEnd"/>
      <w:r>
        <w:rPr>
          <w:sz w:val="20"/>
          <w:szCs w:val="20"/>
        </w:rPr>
        <w:t xml:space="preserve"> 11 mi suite of commands to replace the missing values with values derived from multiple imputation. These results are included in the Appendix to this paper and will be made available online upon publication.</w:t>
      </w:r>
    </w:p>
  </w:footnote>
  <w:footnote w:id="19">
    <w:p w:rsidR="00EE185A" w:rsidRPr="00840E3C" w:rsidRDefault="00EE185A" w:rsidP="007F28D7">
      <w:pPr>
        <w:pStyle w:val="FootnoteText"/>
        <w:jc w:val="both"/>
        <w:rPr>
          <w:sz w:val="20"/>
          <w:szCs w:val="20"/>
        </w:rPr>
      </w:pPr>
      <w:r w:rsidRPr="00D95A80">
        <w:rPr>
          <w:rStyle w:val="FootnoteReference"/>
          <w:sz w:val="20"/>
          <w:szCs w:val="20"/>
        </w:rPr>
        <w:footnoteRef/>
      </w:r>
      <w:r w:rsidRPr="00D95A80">
        <w:rPr>
          <w:sz w:val="20"/>
          <w:szCs w:val="20"/>
        </w:rPr>
        <w:t xml:space="preserve"> </w:t>
      </w:r>
      <w:r w:rsidRPr="00732272">
        <w:rPr>
          <w:sz w:val="20"/>
          <w:szCs w:val="20"/>
        </w:rPr>
        <w:t>To check the sensitivity of our results, we also replaced the ITERATE transnational counts with the GTD transnational counts culled by Enders, Sandler</w:t>
      </w:r>
      <w:r w:rsidRPr="00840E3C">
        <w:rPr>
          <w:sz w:val="20"/>
          <w:szCs w:val="20"/>
        </w:rPr>
        <w:t xml:space="preserve">, and </w:t>
      </w:r>
      <w:proofErr w:type="spellStart"/>
      <w:r w:rsidRPr="00840E3C">
        <w:rPr>
          <w:sz w:val="20"/>
          <w:szCs w:val="20"/>
        </w:rPr>
        <w:t>Gaibulloev</w:t>
      </w:r>
      <w:proofErr w:type="spellEnd"/>
      <w:r w:rsidRPr="00840E3C">
        <w:rPr>
          <w:sz w:val="20"/>
          <w:szCs w:val="20"/>
        </w:rPr>
        <w:t xml:space="preserve"> (2011).  Our main conclusions do not change, and there is very little substantive difference between using the </w:t>
      </w:r>
      <w:r w:rsidRPr="00133F30">
        <w:rPr>
          <w:sz w:val="20"/>
          <w:szCs w:val="20"/>
        </w:rPr>
        <w:t xml:space="preserve">two data sources.  However, </w:t>
      </w:r>
      <w:r w:rsidRPr="0060669A">
        <w:rPr>
          <w:sz w:val="20"/>
          <w:szCs w:val="20"/>
        </w:rPr>
        <w:t>w</w:t>
      </w:r>
      <w:r w:rsidRPr="00840E3C">
        <w:rPr>
          <w:sz w:val="20"/>
          <w:szCs w:val="20"/>
        </w:rPr>
        <w:t>e choose to focus on the results using the ITERATE measure because we wish to test the robustness of our results across different sources of terrorism data, and because ITERATE is the most commonly used source for transnational attacks specifically.</w:t>
      </w:r>
    </w:p>
  </w:footnote>
  <w:footnote w:id="20">
    <w:p w:rsidR="00EE185A" w:rsidRPr="00033368" w:rsidRDefault="00EE185A" w:rsidP="007F28D7">
      <w:pPr>
        <w:pStyle w:val="FootnoteText"/>
        <w:jc w:val="both"/>
        <w:rPr>
          <w:sz w:val="20"/>
          <w:szCs w:val="20"/>
        </w:rPr>
      </w:pPr>
      <w:r w:rsidRPr="008B73DA">
        <w:rPr>
          <w:rStyle w:val="FootnoteReference"/>
          <w:sz w:val="20"/>
          <w:szCs w:val="20"/>
        </w:rPr>
        <w:footnoteRef/>
      </w:r>
      <w:r w:rsidRPr="008B73DA">
        <w:rPr>
          <w:sz w:val="20"/>
          <w:szCs w:val="20"/>
        </w:rPr>
        <w:t xml:space="preserve"> </w:t>
      </w:r>
      <w:r>
        <w:rPr>
          <w:sz w:val="20"/>
          <w:szCs w:val="20"/>
        </w:rPr>
        <w:t>For ease of interpretation, we recode t</w:t>
      </w:r>
      <w:r w:rsidRPr="008B73DA">
        <w:rPr>
          <w:sz w:val="20"/>
          <w:szCs w:val="20"/>
        </w:rPr>
        <w:t xml:space="preserve">his scale </w:t>
      </w:r>
      <w:r>
        <w:rPr>
          <w:sz w:val="20"/>
          <w:szCs w:val="20"/>
        </w:rPr>
        <w:t>to range from 0</w:t>
      </w:r>
      <w:r w:rsidRPr="008B73DA">
        <w:rPr>
          <w:sz w:val="20"/>
          <w:szCs w:val="20"/>
        </w:rPr>
        <w:t xml:space="preserve"> to 20</w:t>
      </w:r>
      <w:r>
        <w:rPr>
          <w:sz w:val="20"/>
          <w:szCs w:val="20"/>
        </w:rPr>
        <w:t xml:space="preserve"> when</w:t>
      </w:r>
      <w:r w:rsidRPr="008B73DA">
        <w:rPr>
          <w:sz w:val="20"/>
          <w:szCs w:val="20"/>
        </w:rPr>
        <w:t xml:space="preserve"> we analyze the interaction of </w:t>
      </w:r>
      <w:r>
        <w:rPr>
          <w:i/>
          <w:sz w:val="20"/>
          <w:szCs w:val="20"/>
        </w:rPr>
        <w:t>Regime Type</w:t>
      </w:r>
      <w:r w:rsidRPr="008B73DA">
        <w:rPr>
          <w:sz w:val="20"/>
          <w:szCs w:val="20"/>
        </w:rPr>
        <w:t xml:space="preserve"> with the number o</w:t>
      </w:r>
      <w:r>
        <w:rPr>
          <w:sz w:val="20"/>
          <w:szCs w:val="20"/>
        </w:rPr>
        <w:t>f terrorist attacks.</w:t>
      </w:r>
      <w:r w:rsidRPr="008B73DA">
        <w:rPr>
          <w:sz w:val="20"/>
          <w:szCs w:val="20"/>
        </w:rPr>
        <w:t xml:space="preserve"> </w:t>
      </w:r>
    </w:p>
  </w:footnote>
  <w:footnote w:id="21">
    <w:p w:rsidR="00EE185A" w:rsidRPr="00CE178D" w:rsidRDefault="00EE185A" w:rsidP="00B5422E">
      <w:pPr>
        <w:pStyle w:val="FootnoteText"/>
        <w:jc w:val="both"/>
        <w:rPr>
          <w:sz w:val="20"/>
          <w:szCs w:val="20"/>
        </w:rPr>
      </w:pPr>
      <w:r w:rsidRPr="00CE178D">
        <w:rPr>
          <w:rStyle w:val="FootnoteReference"/>
          <w:sz w:val="20"/>
          <w:szCs w:val="20"/>
        </w:rPr>
        <w:footnoteRef/>
      </w:r>
      <w:r w:rsidRPr="00CE178D">
        <w:rPr>
          <w:sz w:val="20"/>
          <w:szCs w:val="20"/>
        </w:rPr>
        <w:t xml:space="preserve"> The ITT data </w:t>
      </w:r>
      <w:r>
        <w:rPr>
          <w:sz w:val="20"/>
          <w:szCs w:val="20"/>
        </w:rPr>
        <w:t>include an ordinal Country Year Level of Torture (</w:t>
      </w:r>
      <w:proofErr w:type="spellStart"/>
      <w:r>
        <w:rPr>
          <w:sz w:val="20"/>
          <w:szCs w:val="20"/>
        </w:rPr>
        <w:t>CYLoT</w:t>
      </w:r>
      <w:proofErr w:type="spellEnd"/>
      <w:r>
        <w:rPr>
          <w:sz w:val="20"/>
          <w:szCs w:val="20"/>
        </w:rPr>
        <w:t>) variable. That measure reports the highest level of torture reported within any agency in a given country-year. As a result, it is not a true aggregation of the level of torture within a given country-year; instead, it reports the level of torture for the worst violating agency within in a given year. As such, the CIRI data is more appropriate for this analysis.</w:t>
      </w:r>
      <w:r w:rsidRPr="00CE178D">
        <w:rPr>
          <w:sz w:val="20"/>
          <w:szCs w:val="20"/>
        </w:rPr>
        <w:t xml:space="preserve"> </w:t>
      </w:r>
    </w:p>
  </w:footnote>
  <w:footnote w:id="22">
    <w:p w:rsidR="00EE185A" w:rsidRPr="00732272" w:rsidRDefault="00EE185A">
      <w:pPr>
        <w:pStyle w:val="FootnoteText"/>
        <w:rPr>
          <w:sz w:val="20"/>
          <w:szCs w:val="20"/>
        </w:rPr>
      </w:pPr>
      <w:r w:rsidRPr="00732272">
        <w:rPr>
          <w:rStyle w:val="FootnoteReference"/>
          <w:sz w:val="20"/>
          <w:szCs w:val="20"/>
        </w:rPr>
        <w:footnoteRef/>
      </w:r>
      <w:r w:rsidRPr="00732272">
        <w:rPr>
          <w:sz w:val="20"/>
          <w:szCs w:val="20"/>
        </w:rPr>
        <w:t xml:space="preserve"> In robustness tests </w:t>
      </w:r>
      <w:r>
        <w:rPr>
          <w:sz w:val="20"/>
          <w:szCs w:val="20"/>
        </w:rPr>
        <w:t xml:space="preserve">reported in the appendix, </w:t>
      </w:r>
      <w:r w:rsidRPr="00732272">
        <w:rPr>
          <w:sz w:val="20"/>
          <w:szCs w:val="20"/>
        </w:rPr>
        <w:t>we replace democracy with executive constraints from the Polity IV project to see if this specific institutional feature is driving the relationship between democracy and torture.   In none of the models, however, is the measure of executive constraints statistically significant.</w:t>
      </w:r>
    </w:p>
  </w:footnote>
  <w:footnote w:id="23">
    <w:p w:rsidR="00EE185A" w:rsidRDefault="00EE185A" w:rsidP="007F28D7">
      <w:pPr>
        <w:pStyle w:val="FootnoteText"/>
        <w:jc w:val="both"/>
      </w:pPr>
      <w:r w:rsidRPr="00CE178D">
        <w:rPr>
          <w:rStyle w:val="FootnoteReference"/>
          <w:sz w:val="20"/>
          <w:szCs w:val="20"/>
        </w:rPr>
        <w:footnoteRef/>
      </w:r>
      <w:r w:rsidRPr="00CE178D">
        <w:rPr>
          <w:sz w:val="20"/>
          <w:szCs w:val="20"/>
        </w:rPr>
        <w:t xml:space="preserve"> The results for domestic terrorism become statistically insignificant with the inclusion</w:t>
      </w:r>
      <w:r>
        <w:rPr>
          <w:sz w:val="20"/>
        </w:rPr>
        <w:t xml:space="preserve"> of a lagged dependent variable in the model. The results for transnational terrorism, however, are robust to the inclusion of a lagged dependent variable.</w:t>
      </w:r>
    </w:p>
  </w:footnote>
  <w:footnote w:id="24">
    <w:p w:rsidR="00EE185A" w:rsidRDefault="00EE185A">
      <w:pPr>
        <w:pStyle w:val="FootnoteText"/>
      </w:pPr>
      <w:r w:rsidRPr="00732272">
        <w:rPr>
          <w:rStyle w:val="FootnoteReference"/>
          <w:sz w:val="20"/>
          <w:szCs w:val="20"/>
        </w:rPr>
        <w:footnoteRef/>
      </w:r>
      <w:r w:rsidRPr="00732272">
        <w:rPr>
          <w:sz w:val="20"/>
          <w:szCs w:val="20"/>
        </w:rPr>
        <w:t xml:space="preserve"> Additionally, to account for the possible influence of unit (i.e. country)-specific factors, we analyzed the same set of models in Table 3, incorporating random effects.  The results are</w:t>
      </w:r>
      <w:r>
        <w:rPr>
          <w:sz w:val="20"/>
          <w:szCs w:val="20"/>
        </w:rPr>
        <w:t xml:space="preserve"> highly</w:t>
      </w:r>
      <w:r w:rsidRPr="00732272">
        <w:rPr>
          <w:sz w:val="20"/>
          <w:szCs w:val="20"/>
        </w:rPr>
        <w:t xml:space="preserve"> comparable to those reported here</w:t>
      </w:r>
      <w:r>
        <w:rPr>
          <w:sz w:val="20"/>
          <w:szCs w:val="20"/>
        </w:rPr>
        <w:t>, and our main conclusions do not change. These results are reported in the appendix.</w:t>
      </w:r>
    </w:p>
  </w:footnote>
  <w:footnote w:id="25">
    <w:p w:rsidR="00EE185A" w:rsidRPr="00CF14F8" w:rsidRDefault="00EE185A" w:rsidP="007F28D7">
      <w:pPr>
        <w:pStyle w:val="FootnoteText"/>
        <w:jc w:val="both"/>
        <w:rPr>
          <w:sz w:val="20"/>
          <w:szCs w:val="20"/>
        </w:rPr>
      </w:pPr>
      <w:r w:rsidRPr="00720FB7">
        <w:rPr>
          <w:rStyle w:val="FootnoteReference"/>
          <w:sz w:val="20"/>
          <w:szCs w:val="20"/>
        </w:rPr>
        <w:footnoteRef/>
      </w:r>
      <w:r w:rsidRPr="00720FB7">
        <w:rPr>
          <w:sz w:val="20"/>
          <w:szCs w:val="20"/>
        </w:rPr>
        <w:t xml:space="preserve"> ITT codes systemic torture as the highest value (5) on the </w:t>
      </w:r>
      <w:proofErr w:type="spellStart"/>
      <w:r w:rsidRPr="00720FB7">
        <w:rPr>
          <w:sz w:val="20"/>
          <w:szCs w:val="20"/>
        </w:rPr>
        <w:t>LoT</w:t>
      </w:r>
      <w:proofErr w:type="spellEnd"/>
      <w:r w:rsidRPr="00720FB7">
        <w:rPr>
          <w:sz w:val="20"/>
          <w:szCs w:val="20"/>
        </w:rPr>
        <w:t xml:space="preserve"> measure. </w:t>
      </w:r>
    </w:p>
  </w:footnote>
  <w:footnote w:id="26">
    <w:p w:rsidR="00EE185A" w:rsidRDefault="00EE185A" w:rsidP="007F28D7">
      <w:pPr>
        <w:pStyle w:val="FootnoteText"/>
        <w:jc w:val="both"/>
      </w:pPr>
      <w:r>
        <w:rPr>
          <w:rStyle w:val="FootnoteReference"/>
        </w:rPr>
        <w:footnoteRef/>
      </w:r>
      <w:r>
        <w:t xml:space="preserve"> </w:t>
      </w:r>
      <w:r>
        <w:rPr>
          <w:sz w:val="20"/>
          <w:szCs w:val="20"/>
        </w:rPr>
        <w:t>T</w:t>
      </w:r>
      <w:r w:rsidRPr="00720FB7">
        <w:rPr>
          <w:sz w:val="20"/>
          <w:szCs w:val="20"/>
        </w:rPr>
        <w:t>he predicted probabilities in Table 4 and the marginal effects in Fig</w:t>
      </w:r>
      <w:r>
        <w:rPr>
          <w:sz w:val="20"/>
          <w:szCs w:val="20"/>
        </w:rPr>
        <w:t>ure 2 are based on estimates from the ordered logistic regression, but</w:t>
      </w:r>
      <w:r w:rsidRPr="00720FB7">
        <w:rPr>
          <w:sz w:val="20"/>
          <w:szCs w:val="20"/>
        </w:rPr>
        <w:t xml:space="preserve"> </w:t>
      </w:r>
      <w:r>
        <w:rPr>
          <w:sz w:val="20"/>
          <w:szCs w:val="20"/>
        </w:rPr>
        <w:t>rescaled</w:t>
      </w:r>
      <w:r w:rsidRPr="00720FB7">
        <w:rPr>
          <w:sz w:val="20"/>
          <w:szCs w:val="20"/>
        </w:rPr>
        <w:t xml:space="preserve"> </w:t>
      </w:r>
      <w:r>
        <w:rPr>
          <w:sz w:val="20"/>
          <w:szCs w:val="20"/>
        </w:rPr>
        <w:t xml:space="preserve">assuming a normal distribution (i.e., using the distributional assumptions of an ordered </w:t>
      </w:r>
      <w:proofErr w:type="spellStart"/>
      <w:r>
        <w:rPr>
          <w:sz w:val="20"/>
          <w:szCs w:val="20"/>
        </w:rPr>
        <w:t>probit</w:t>
      </w:r>
      <w:proofErr w:type="spellEnd"/>
      <w:r>
        <w:rPr>
          <w:sz w:val="20"/>
          <w:szCs w:val="20"/>
        </w:rPr>
        <w:t xml:space="preserve"> model) for ease of </w:t>
      </w:r>
      <w:r w:rsidRPr="00FF0E70">
        <w:rPr>
          <w:sz w:val="20"/>
          <w:szCs w:val="20"/>
        </w:rPr>
        <w:t xml:space="preserve">interpretation. </w:t>
      </w:r>
      <w:r w:rsidRPr="007B24E6">
        <w:rPr>
          <w:sz w:val="20"/>
          <w:szCs w:val="20"/>
        </w:rPr>
        <w:t xml:space="preserve">In each scenario, the other independent variables are held constant at their </w:t>
      </w:r>
      <w:r w:rsidRPr="00342B72">
        <w:rPr>
          <w:sz w:val="20"/>
          <w:szCs w:val="20"/>
        </w:rPr>
        <w:t>means (for continuous variables) or medians (for categorical variables).</w:t>
      </w:r>
      <w:r w:rsidRPr="007B24E6">
        <w:rPr>
          <w:sz w:val="20"/>
          <w:szCs w:val="20"/>
        </w:rPr>
        <w:t xml:space="preserve"> </w:t>
      </w:r>
      <w:r>
        <w:rPr>
          <w:sz w:val="22"/>
        </w:rPr>
        <w:t xml:space="preserve"> </w:t>
      </w:r>
    </w:p>
  </w:footnote>
  <w:footnote w:id="27">
    <w:p w:rsidR="00EE185A" w:rsidRDefault="00EE185A" w:rsidP="007F28D7">
      <w:pPr>
        <w:pStyle w:val="FootnoteText"/>
        <w:jc w:val="both"/>
      </w:pPr>
      <w:r>
        <w:rPr>
          <w:rStyle w:val="FootnoteReference"/>
        </w:rPr>
        <w:footnoteRef/>
      </w:r>
      <w:r>
        <w:t xml:space="preserve"> </w:t>
      </w:r>
      <w:r w:rsidRPr="005C067C">
        <w:rPr>
          <w:sz w:val="20"/>
          <w:szCs w:val="20"/>
        </w:rPr>
        <w:t xml:space="preserve">The choice to use 20 terrorist attacks is arbitrary, but as Figure 1 demonstrates, it is in the range where the effect of </w:t>
      </w:r>
      <w:r>
        <w:rPr>
          <w:sz w:val="20"/>
          <w:szCs w:val="20"/>
        </w:rPr>
        <w:t xml:space="preserve">transnational </w:t>
      </w:r>
      <w:r w:rsidRPr="005C067C">
        <w:rPr>
          <w:sz w:val="20"/>
          <w:szCs w:val="20"/>
        </w:rPr>
        <w:t>attacks becomes substantively strong.</w:t>
      </w:r>
      <w:r>
        <w:rPr>
          <w:sz w:val="20"/>
          <w:szCs w:val="20"/>
        </w:rPr>
        <w:t xml:space="preserve">  At three transnational attacks, the probability of systemic torture is 1.3 percentage points greater than when there are no attacks.  The probability is about 6.5 percentage points higher at 10 attacks versus 0 attacks.  </w:t>
      </w:r>
    </w:p>
  </w:footnote>
  <w:footnote w:id="28">
    <w:p w:rsidR="00EE185A" w:rsidRDefault="00EE185A" w:rsidP="007F28D7">
      <w:pPr>
        <w:pStyle w:val="FootnoteText"/>
        <w:jc w:val="both"/>
      </w:pPr>
      <w:r>
        <w:rPr>
          <w:rStyle w:val="FootnoteReference"/>
        </w:rPr>
        <w:footnoteRef/>
      </w:r>
      <w:r>
        <w:t xml:space="preserve"> </w:t>
      </w:r>
      <w:r>
        <w:rPr>
          <w:sz w:val="20"/>
          <w:szCs w:val="20"/>
        </w:rPr>
        <w:t>E</w:t>
      </w:r>
      <w:r w:rsidRPr="004A0B59">
        <w:rPr>
          <w:sz w:val="20"/>
          <w:szCs w:val="20"/>
        </w:rPr>
        <w:t xml:space="preserve">ach of the five </w:t>
      </w:r>
      <w:proofErr w:type="spellStart"/>
      <w:r w:rsidRPr="004A0B59">
        <w:rPr>
          <w:sz w:val="20"/>
          <w:szCs w:val="20"/>
        </w:rPr>
        <w:t>cutpoints</w:t>
      </w:r>
      <w:proofErr w:type="spellEnd"/>
      <w:r w:rsidRPr="004A0B59">
        <w:rPr>
          <w:sz w:val="20"/>
          <w:szCs w:val="20"/>
        </w:rPr>
        <w:t xml:space="preserve"> in the models </w:t>
      </w:r>
      <w:proofErr w:type="gramStart"/>
      <w:r w:rsidRPr="004A0B59">
        <w:rPr>
          <w:sz w:val="20"/>
          <w:szCs w:val="20"/>
        </w:rPr>
        <w:t>are</w:t>
      </w:r>
      <w:proofErr w:type="gramEnd"/>
      <w:r w:rsidRPr="004A0B59">
        <w:rPr>
          <w:sz w:val="20"/>
          <w:szCs w:val="20"/>
        </w:rPr>
        <w:t xml:space="preserve"> significantly different from each other, indicating that the categories of torture on the ITT scale are indeed tapping into distinct levels of torture.</w:t>
      </w:r>
    </w:p>
  </w:footnote>
  <w:footnote w:id="29">
    <w:p w:rsidR="00EE185A" w:rsidRDefault="00EE185A" w:rsidP="007F28D7">
      <w:pPr>
        <w:pStyle w:val="FootnoteText"/>
        <w:jc w:val="both"/>
      </w:pPr>
      <w:r>
        <w:rPr>
          <w:rStyle w:val="FootnoteReference"/>
        </w:rPr>
        <w:footnoteRef/>
      </w:r>
      <w:r>
        <w:t xml:space="preserve"> </w:t>
      </w:r>
      <w:r w:rsidRPr="002D3D31">
        <w:rPr>
          <w:sz w:val="20"/>
          <w:szCs w:val="20"/>
        </w:rPr>
        <w:t>The maximum number of attacks in the sample is 101.</w:t>
      </w:r>
    </w:p>
  </w:footnote>
  <w:footnote w:id="30">
    <w:p w:rsidR="00EE185A" w:rsidRPr="009271ED" w:rsidRDefault="00EE185A" w:rsidP="007F28D7">
      <w:pPr>
        <w:pStyle w:val="FootnoteText"/>
        <w:jc w:val="both"/>
        <w:rPr>
          <w:sz w:val="20"/>
        </w:rPr>
      </w:pPr>
      <w:r w:rsidRPr="009271ED">
        <w:rPr>
          <w:rStyle w:val="FootnoteReference"/>
          <w:sz w:val="20"/>
        </w:rPr>
        <w:footnoteRef/>
      </w:r>
      <w:r w:rsidRPr="009271ED">
        <w:rPr>
          <w:sz w:val="20"/>
        </w:rPr>
        <w:t xml:space="preserve"> Because the generation of substantive effects is more straightforward using </w:t>
      </w:r>
      <w:r w:rsidRPr="009271ED">
        <w:rPr>
          <w:sz w:val="20"/>
          <w:szCs w:val="20"/>
        </w:rPr>
        <w:t xml:space="preserve">assuming a normal distribution (i.e., using the distributional assumptions of an ordered </w:t>
      </w:r>
      <w:proofErr w:type="spellStart"/>
      <w:r w:rsidRPr="009271ED">
        <w:rPr>
          <w:sz w:val="20"/>
          <w:szCs w:val="20"/>
        </w:rPr>
        <w:t>probit</w:t>
      </w:r>
      <w:proofErr w:type="spellEnd"/>
      <w:r w:rsidRPr="009271ED">
        <w:rPr>
          <w:sz w:val="20"/>
          <w:szCs w:val="20"/>
        </w:rPr>
        <w:t xml:space="preserve"> model), we estimate the models in Table 5 using ordered </w:t>
      </w:r>
      <w:proofErr w:type="spellStart"/>
      <w:r w:rsidRPr="009271ED">
        <w:rPr>
          <w:sz w:val="20"/>
          <w:szCs w:val="20"/>
        </w:rPr>
        <w:t>probit</w:t>
      </w:r>
      <w:proofErr w:type="spellEnd"/>
      <w:r w:rsidRPr="009271ED">
        <w:rPr>
          <w:sz w:val="20"/>
          <w:szCs w:val="20"/>
        </w:rPr>
        <w:t>.</w:t>
      </w:r>
    </w:p>
  </w:footnote>
  <w:footnote w:id="31">
    <w:p w:rsidR="00EE185A" w:rsidRPr="00D213BC" w:rsidRDefault="00EE185A" w:rsidP="007F28D7">
      <w:pPr>
        <w:pStyle w:val="FootnoteText"/>
        <w:jc w:val="both"/>
        <w:rPr>
          <w:sz w:val="20"/>
          <w:szCs w:val="20"/>
        </w:rPr>
      </w:pPr>
      <w:r>
        <w:rPr>
          <w:rStyle w:val="FootnoteReference"/>
        </w:rPr>
        <w:footnoteRef/>
      </w:r>
      <w:r>
        <w:t xml:space="preserve"> </w:t>
      </w:r>
      <w:r w:rsidRPr="00720FB7">
        <w:rPr>
          <w:sz w:val="20"/>
          <w:szCs w:val="20"/>
        </w:rPr>
        <w:t xml:space="preserve">The figure displays the marginal effect of increasing the number of transnational terrorist attacks from 0 to 20 while </w:t>
      </w:r>
      <w:r>
        <w:rPr>
          <w:sz w:val="20"/>
          <w:szCs w:val="20"/>
        </w:rPr>
        <w:t>holding</w:t>
      </w:r>
      <w:r w:rsidRPr="00720FB7">
        <w:rPr>
          <w:sz w:val="20"/>
          <w:szCs w:val="20"/>
        </w:rPr>
        <w:t xml:space="preserve"> the other variables constant at their means or medians.</w:t>
      </w:r>
    </w:p>
  </w:footnote>
  <w:footnote w:id="32">
    <w:p w:rsidR="00EE185A" w:rsidRPr="00732272" w:rsidRDefault="00EE185A">
      <w:pPr>
        <w:pStyle w:val="FootnoteText"/>
        <w:rPr>
          <w:sz w:val="20"/>
          <w:szCs w:val="20"/>
        </w:rPr>
      </w:pPr>
      <w:r w:rsidRPr="00732272">
        <w:rPr>
          <w:rStyle w:val="FootnoteReference"/>
          <w:sz w:val="20"/>
          <w:szCs w:val="20"/>
        </w:rPr>
        <w:footnoteRef/>
      </w:r>
      <w:r w:rsidRPr="00732272">
        <w:rPr>
          <w:sz w:val="20"/>
          <w:szCs w:val="20"/>
        </w:rPr>
        <w:t xml:space="preserve"> </w:t>
      </w:r>
      <w:r>
        <w:rPr>
          <w:sz w:val="20"/>
          <w:szCs w:val="20"/>
        </w:rPr>
        <w:t xml:space="preserve">We use a 0 to 21 scale for Polity by converting the original 21-point scale (ranging from -10 to 10).  </w:t>
      </w:r>
      <w:r w:rsidRPr="00732272">
        <w:rPr>
          <w:sz w:val="20"/>
          <w:szCs w:val="20"/>
        </w:rPr>
        <w:t>A Polity score of ‘12’ here is the same as a ‘2’on the original scale</w:t>
      </w:r>
      <w:r>
        <w:rPr>
          <w:sz w:val="20"/>
          <w:szCs w:val="20"/>
        </w:rPr>
        <w:t xml:space="preserve">, corresponding to a regime classified as an </w:t>
      </w:r>
      <w:proofErr w:type="spellStart"/>
      <w:r>
        <w:rPr>
          <w:sz w:val="20"/>
          <w:szCs w:val="20"/>
        </w:rPr>
        <w:t>anocracy</w:t>
      </w:r>
      <w:proofErr w:type="spellEnd"/>
      <w:r w:rsidRPr="00732272">
        <w:rPr>
          <w:sz w:val="20"/>
          <w:szCs w:val="20"/>
        </w:rPr>
        <w:t>.</w:t>
      </w:r>
    </w:p>
  </w:footnote>
  <w:footnote w:id="33">
    <w:p w:rsidR="00EE185A" w:rsidRPr="00732272" w:rsidRDefault="00EE185A">
      <w:pPr>
        <w:pStyle w:val="FootnoteText"/>
        <w:rPr>
          <w:sz w:val="20"/>
          <w:szCs w:val="20"/>
        </w:rPr>
      </w:pPr>
      <w:r w:rsidRPr="00732272">
        <w:rPr>
          <w:rStyle w:val="FootnoteReference"/>
          <w:sz w:val="20"/>
          <w:szCs w:val="20"/>
        </w:rPr>
        <w:footnoteRef/>
      </w:r>
      <w:r w:rsidRPr="00732272">
        <w:rPr>
          <w:sz w:val="20"/>
          <w:szCs w:val="20"/>
        </w:rPr>
        <w:t xml:space="preserve"> We believe that this is not simply a result of democracies having a lower baseline level of torture.  Dichotomizing the Polity scale into democracies and autocracies, there is a statistically significant difference in their mean levels of torture, though it is less than a full category, and less than one standard deviation of the full sample.  Both democracies and autocracies have relatively low average levels of torture, meaning that they both have substantial room to increase their level of torture in response to terrorist attacks.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D3E"/>
    <w:multiLevelType w:val="multilevel"/>
    <w:tmpl w:val="D376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C1404"/>
    <w:multiLevelType w:val="hybridMultilevel"/>
    <w:tmpl w:val="E526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w15:presenceInfo w15:providerId="None" w15:userId="J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5D"/>
    <w:rsid w:val="000000DE"/>
    <w:rsid w:val="00001E0C"/>
    <w:rsid w:val="00001FB6"/>
    <w:rsid w:val="00003708"/>
    <w:rsid w:val="00003C5A"/>
    <w:rsid w:val="00004660"/>
    <w:rsid w:val="0000755A"/>
    <w:rsid w:val="000104F5"/>
    <w:rsid w:val="0001139E"/>
    <w:rsid w:val="00011EDE"/>
    <w:rsid w:val="0001214E"/>
    <w:rsid w:val="000125F9"/>
    <w:rsid w:val="00014143"/>
    <w:rsid w:val="0001503C"/>
    <w:rsid w:val="00015109"/>
    <w:rsid w:val="00015EC0"/>
    <w:rsid w:val="00016B34"/>
    <w:rsid w:val="00023004"/>
    <w:rsid w:val="00024AC0"/>
    <w:rsid w:val="00026802"/>
    <w:rsid w:val="00026DE4"/>
    <w:rsid w:val="000317F6"/>
    <w:rsid w:val="0003241C"/>
    <w:rsid w:val="00032597"/>
    <w:rsid w:val="00033194"/>
    <w:rsid w:val="00033368"/>
    <w:rsid w:val="0003522C"/>
    <w:rsid w:val="00036B88"/>
    <w:rsid w:val="00040FBA"/>
    <w:rsid w:val="00043883"/>
    <w:rsid w:val="0004441F"/>
    <w:rsid w:val="00046841"/>
    <w:rsid w:val="00050682"/>
    <w:rsid w:val="000519C2"/>
    <w:rsid w:val="00052722"/>
    <w:rsid w:val="000528CA"/>
    <w:rsid w:val="000541A7"/>
    <w:rsid w:val="00054F50"/>
    <w:rsid w:val="000559A1"/>
    <w:rsid w:val="000602E8"/>
    <w:rsid w:val="00060516"/>
    <w:rsid w:val="000610C8"/>
    <w:rsid w:val="00061EF3"/>
    <w:rsid w:val="00062F5B"/>
    <w:rsid w:val="000631D1"/>
    <w:rsid w:val="00064D73"/>
    <w:rsid w:val="00067B5C"/>
    <w:rsid w:val="00070EE9"/>
    <w:rsid w:val="00073F2E"/>
    <w:rsid w:val="000740BD"/>
    <w:rsid w:val="0007541F"/>
    <w:rsid w:val="00076432"/>
    <w:rsid w:val="0007708A"/>
    <w:rsid w:val="00077295"/>
    <w:rsid w:val="00081470"/>
    <w:rsid w:val="00081486"/>
    <w:rsid w:val="00082C13"/>
    <w:rsid w:val="0008302A"/>
    <w:rsid w:val="000843B0"/>
    <w:rsid w:val="00086F17"/>
    <w:rsid w:val="0009268D"/>
    <w:rsid w:val="00093C8E"/>
    <w:rsid w:val="00093FC0"/>
    <w:rsid w:val="0009412B"/>
    <w:rsid w:val="00094221"/>
    <w:rsid w:val="00096EA8"/>
    <w:rsid w:val="000977B3"/>
    <w:rsid w:val="000A0BB9"/>
    <w:rsid w:val="000A3288"/>
    <w:rsid w:val="000A6902"/>
    <w:rsid w:val="000B0C28"/>
    <w:rsid w:val="000B17D5"/>
    <w:rsid w:val="000B18E1"/>
    <w:rsid w:val="000B1A66"/>
    <w:rsid w:val="000B368B"/>
    <w:rsid w:val="000B373E"/>
    <w:rsid w:val="000B4C9E"/>
    <w:rsid w:val="000B6236"/>
    <w:rsid w:val="000B7695"/>
    <w:rsid w:val="000C03D3"/>
    <w:rsid w:val="000C3AC5"/>
    <w:rsid w:val="000C4676"/>
    <w:rsid w:val="000C4686"/>
    <w:rsid w:val="000C4A51"/>
    <w:rsid w:val="000C5A4F"/>
    <w:rsid w:val="000C5C31"/>
    <w:rsid w:val="000C6171"/>
    <w:rsid w:val="000C68C6"/>
    <w:rsid w:val="000D0A9D"/>
    <w:rsid w:val="000D2E84"/>
    <w:rsid w:val="000D4CCD"/>
    <w:rsid w:val="000D5744"/>
    <w:rsid w:val="000D693E"/>
    <w:rsid w:val="000D7093"/>
    <w:rsid w:val="000E3BC9"/>
    <w:rsid w:val="000E623A"/>
    <w:rsid w:val="000E6AC9"/>
    <w:rsid w:val="000E7D9A"/>
    <w:rsid w:val="000F063A"/>
    <w:rsid w:val="000F10BC"/>
    <w:rsid w:val="000F195D"/>
    <w:rsid w:val="000F2AD2"/>
    <w:rsid w:val="000F2CD5"/>
    <w:rsid w:val="000F34C8"/>
    <w:rsid w:val="000F37C5"/>
    <w:rsid w:val="000F51D9"/>
    <w:rsid w:val="000F6105"/>
    <w:rsid w:val="000F68E9"/>
    <w:rsid w:val="000F6B96"/>
    <w:rsid w:val="000F7095"/>
    <w:rsid w:val="00106D7D"/>
    <w:rsid w:val="00107AA3"/>
    <w:rsid w:val="001106B2"/>
    <w:rsid w:val="001142FF"/>
    <w:rsid w:val="001151DA"/>
    <w:rsid w:val="0011547D"/>
    <w:rsid w:val="0011708E"/>
    <w:rsid w:val="00117CE6"/>
    <w:rsid w:val="001235F0"/>
    <w:rsid w:val="00124011"/>
    <w:rsid w:val="00126634"/>
    <w:rsid w:val="00130009"/>
    <w:rsid w:val="001303DF"/>
    <w:rsid w:val="00130B21"/>
    <w:rsid w:val="00131518"/>
    <w:rsid w:val="00131A0B"/>
    <w:rsid w:val="0013216D"/>
    <w:rsid w:val="001337CC"/>
    <w:rsid w:val="00133F30"/>
    <w:rsid w:val="0013484D"/>
    <w:rsid w:val="00135142"/>
    <w:rsid w:val="00135A68"/>
    <w:rsid w:val="00137170"/>
    <w:rsid w:val="00141104"/>
    <w:rsid w:val="001417DD"/>
    <w:rsid w:val="00141E7B"/>
    <w:rsid w:val="00142039"/>
    <w:rsid w:val="00142230"/>
    <w:rsid w:val="00142F0D"/>
    <w:rsid w:val="00146144"/>
    <w:rsid w:val="001479DC"/>
    <w:rsid w:val="00150DBC"/>
    <w:rsid w:val="001510A6"/>
    <w:rsid w:val="00153228"/>
    <w:rsid w:val="001547C1"/>
    <w:rsid w:val="001564E7"/>
    <w:rsid w:val="00156881"/>
    <w:rsid w:val="00163EAC"/>
    <w:rsid w:val="00165FEF"/>
    <w:rsid w:val="00171BD0"/>
    <w:rsid w:val="00173427"/>
    <w:rsid w:val="00176A3C"/>
    <w:rsid w:val="001820BF"/>
    <w:rsid w:val="001828CC"/>
    <w:rsid w:val="001858E4"/>
    <w:rsid w:val="00186F49"/>
    <w:rsid w:val="0018705A"/>
    <w:rsid w:val="001911B1"/>
    <w:rsid w:val="00192E1B"/>
    <w:rsid w:val="00193DF8"/>
    <w:rsid w:val="00195AB9"/>
    <w:rsid w:val="001A08CE"/>
    <w:rsid w:val="001A1CFE"/>
    <w:rsid w:val="001A2EB0"/>
    <w:rsid w:val="001A767B"/>
    <w:rsid w:val="001B1BB4"/>
    <w:rsid w:val="001B232F"/>
    <w:rsid w:val="001B328A"/>
    <w:rsid w:val="001B5A36"/>
    <w:rsid w:val="001B6677"/>
    <w:rsid w:val="001C0993"/>
    <w:rsid w:val="001C1F4D"/>
    <w:rsid w:val="001C4ADD"/>
    <w:rsid w:val="001C58C2"/>
    <w:rsid w:val="001C5AA1"/>
    <w:rsid w:val="001C6D06"/>
    <w:rsid w:val="001C75BF"/>
    <w:rsid w:val="001D018A"/>
    <w:rsid w:val="001D02D2"/>
    <w:rsid w:val="001D1795"/>
    <w:rsid w:val="001D181C"/>
    <w:rsid w:val="001D391C"/>
    <w:rsid w:val="001D5094"/>
    <w:rsid w:val="001D792D"/>
    <w:rsid w:val="001E1B4E"/>
    <w:rsid w:val="001E405A"/>
    <w:rsid w:val="001E4D46"/>
    <w:rsid w:val="001F0298"/>
    <w:rsid w:val="001F1BD9"/>
    <w:rsid w:val="001F3B75"/>
    <w:rsid w:val="001F7380"/>
    <w:rsid w:val="001F73E6"/>
    <w:rsid w:val="001F75AF"/>
    <w:rsid w:val="001F7B26"/>
    <w:rsid w:val="002005D9"/>
    <w:rsid w:val="00200D1B"/>
    <w:rsid w:val="002042D5"/>
    <w:rsid w:val="00205D27"/>
    <w:rsid w:val="002062D4"/>
    <w:rsid w:val="00210EF6"/>
    <w:rsid w:val="00211E3A"/>
    <w:rsid w:val="00212639"/>
    <w:rsid w:val="002155FA"/>
    <w:rsid w:val="0021613A"/>
    <w:rsid w:val="0022343D"/>
    <w:rsid w:val="002240AD"/>
    <w:rsid w:val="00224FEF"/>
    <w:rsid w:val="00225F80"/>
    <w:rsid w:val="00226933"/>
    <w:rsid w:val="00226B77"/>
    <w:rsid w:val="0023035B"/>
    <w:rsid w:val="002306F9"/>
    <w:rsid w:val="00230861"/>
    <w:rsid w:val="0023256D"/>
    <w:rsid w:val="00232BB1"/>
    <w:rsid w:val="00233435"/>
    <w:rsid w:val="0023449A"/>
    <w:rsid w:val="00237F09"/>
    <w:rsid w:val="00244B53"/>
    <w:rsid w:val="00244C22"/>
    <w:rsid w:val="00244F17"/>
    <w:rsid w:val="002464DE"/>
    <w:rsid w:val="0025115B"/>
    <w:rsid w:val="00251FAB"/>
    <w:rsid w:val="00252B34"/>
    <w:rsid w:val="00253B93"/>
    <w:rsid w:val="0025418F"/>
    <w:rsid w:val="00257DBC"/>
    <w:rsid w:val="00261D9E"/>
    <w:rsid w:val="00262C17"/>
    <w:rsid w:val="00264C98"/>
    <w:rsid w:val="002746EF"/>
    <w:rsid w:val="002767B7"/>
    <w:rsid w:val="00277851"/>
    <w:rsid w:val="00280948"/>
    <w:rsid w:val="00281B67"/>
    <w:rsid w:val="002843A5"/>
    <w:rsid w:val="002875F4"/>
    <w:rsid w:val="00293957"/>
    <w:rsid w:val="002941D2"/>
    <w:rsid w:val="0029586E"/>
    <w:rsid w:val="00296770"/>
    <w:rsid w:val="00297403"/>
    <w:rsid w:val="0029753F"/>
    <w:rsid w:val="002A1606"/>
    <w:rsid w:val="002A1FD1"/>
    <w:rsid w:val="002A62D4"/>
    <w:rsid w:val="002A63F9"/>
    <w:rsid w:val="002A797E"/>
    <w:rsid w:val="002A7DB1"/>
    <w:rsid w:val="002B0AE5"/>
    <w:rsid w:val="002B0CD7"/>
    <w:rsid w:val="002B4750"/>
    <w:rsid w:val="002B5230"/>
    <w:rsid w:val="002B73AF"/>
    <w:rsid w:val="002B7E77"/>
    <w:rsid w:val="002C0A85"/>
    <w:rsid w:val="002C1406"/>
    <w:rsid w:val="002C1FF6"/>
    <w:rsid w:val="002D2880"/>
    <w:rsid w:val="002D350A"/>
    <w:rsid w:val="002D3D31"/>
    <w:rsid w:val="002D4194"/>
    <w:rsid w:val="002D5B9A"/>
    <w:rsid w:val="002D5C65"/>
    <w:rsid w:val="002D676B"/>
    <w:rsid w:val="002D6EB6"/>
    <w:rsid w:val="002E13BC"/>
    <w:rsid w:val="002E3746"/>
    <w:rsid w:val="002E3921"/>
    <w:rsid w:val="002E4277"/>
    <w:rsid w:val="002E5267"/>
    <w:rsid w:val="002E5ED2"/>
    <w:rsid w:val="002E6CCE"/>
    <w:rsid w:val="002E6FDA"/>
    <w:rsid w:val="002E76A7"/>
    <w:rsid w:val="002F060D"/>
    <w:rsid w:val="002F08BE"/>
    <w:rsid w:val="002F299E"/>
    <w:rsid w:val="002F3E08"/>
    <w:rsid w:val="002F6424"/>
    <w:rsid w:val="002F66F6"/>
    <w:rsid w:val="002F696F"/>
    <w:rsid w:val="003010FD"/>
    <w:rsid w:val="003029D0"/>
    <w:rsid w:val="00302ED5"/>
    <w:rsid w:val="003047FC"/>
    <w:rsid w:val="003073A6"/>
    <w:rsid w:val="003073D3"/>
    <w:rsid w:val="0031259F"/>
    <w:rsid w:val="00312897"/>
    <w:rsid w:val="0031318F"/>
    <w:rsid w:val="00316F58"/>
    <w:rsid w:val="003170F5"/>
    <w:rsid w:val="00322381"/>
    <w:rsid w:val="003230F6"/>
    <w:rsid w:val="0032389B"/>
    <w:rsid w:val="00323B69"/>
    <w:rsid w:val="00323EFF"/>
    <w:rsid w:val="0032626E"/>
    <w:rsid w:val="00327815"/>
    <w:rsid w:val="003306D9"/>
    <w:rsid w:val="00332EDB"/>
    <w:rsid w:val="003343A7"/>
    <w:rsid w:val="0033446B"/>
    <w:rsid w:val="00335A10"/>
    <w:rsid w:val="00335CC6"/>
    <w:rsid w:val="00336523"/>
    <w:rsid w:val="00342665"/>
    <w:rsid w:val="00342B72"/>
    <w:rsid w:val="0034393C"/>
    <w:rsid w:val="00350BE9"/>
    <w:rsid w:val="00350DF6"/>
    <w:rsid w:val="00352424"/>
    <w:rsid w:val="00354BF0"/>
    <w:rsid w:val="003551B6"/>
    <w:rsid w:val="00355749"/>
    <w:rsid w:val="00355CF1"/>
    <w:rsid w:val="003566D1"/>
    <w:rsid w:val="00356B88"/>
    <w:rsid w:val="00357FE3"/>
    <w:rsid w:val="00362EAB"/>
    <w:rsid w:val="00363338"/>
    <w:rsid w:val="003634D2"/>
    <w:rsid w:val="00364C5A"/>
    <w:rsid w:val="003652A1"/>
    <w:rsid w:val="0036636E"/>
    <w:rsid w:val="003717B7"/>
    <w:rsid w:val="0037391C"/>
    <w:rsid w:val="00374F73"/>
    <w:rsid w:val="003756A9"/>
    <w:rsid w:val="00377046"/>
    <w:rsid w:val="003778A4"/>
    <w:rsid w:val="00381876"/>
    <w:rsid w:val="003830CB"/>
    <w:rsid w:val="00383475"/>
    <w:rsid w:val="00383D3F"/>
    <w:rsid w:val="0038590B"/>
    <w:rsid w:val="00387368"/>
    <w:rsid w:val="0039092C"/>
    <w:rsid w:val="00391B35"/>
    <w:rsid w:val="003924D1"/>
    <w:rsid w:val="003924FD"/>
    <w:rsid w:val="003948B8"/>
    <w:rsid w:val="003974EE"/>
    <w:rsid w:val="003A1462"/>
    <w:rsid w:val="003A1DB2"/>
    <w:rsid w:val="003A1DBA"/>
    <w:rsid w:val="003A5806"/>
    <w:rsid w:val="003A7068"/>
    <w:rsid w:val="003B0B5A"/>
    <w:rsid w:val="003B19C4"/>
    <w:rsid w:val="003B27AC"/>
    <w:rsid w:val="003B328A"/>
    <w:rsid w:val="003B3751"/>
    <w:rsid w:val="003B4A01"/>
    <w:rsid w:val="003B612F"/>
    <w:rsid w:val="003C3D53"/>
    <w:rsid w:val="003C4A69"/>
    <w:rsid w:val="003C60B8"/>
    <w:rsid w:val="003C6352"/>
    <w:rsid w:val="003C696F"/>
    <w:rsid w:val="003D0209"/>
    <w:rsid w:val="003D033E"/>
    <w:rsid w:val="003D0C1F"/>
    <w:rsid w:val="003D3A4E"/>
    <w:rsid w:val="003D57A2"/>
    <w:rsid w:val="003D6D03"/>
    <w:rsid w:val="003E01AD"/>
    <w:rsid w:val="003E087A"/>
    <w:rsid w:val="003E1FEA"/>
    <w:rsid w:val="003E4534"/>
    <w:rsid w:val="003E4DBF"/>
    <w:rsid w:val="003E4E0D"/>
    <w:rsid w:val="003F1046"/>
    <w:rsid w:val="003F1D9D"/>
    <w:rsid w:val="003F23D8"/>
    <w:rsid w:val="003F2A5F"/>
    <w:rsid w:val="003F321B"/>
    <w:rsid w:val="003F4538"/>
    <w:rsid w:val="003F6413"/>
    <w:rsid w:val="003F6607"/>
    <w:rsid w:val="003F710C"/>
    <w:rsid w:val="003F7FC7"/>
    <w:rsid w:val="00401CF3"/>
    <w:rsid w:val="00401E7A"/>
    <w:rsid w:val="004027D6"/>
    <w:rsid w:val="00404131"/>
    <w:rsid w:val="00404BD4"/>
    <w:rsid w:val="00407E72"/>
    <w:rsid w:val="004110A0"/>
    <w:rsid w:val="004131E8"/>
    <w:rsid w:val="00413C14"/>
    <w:rsid w:val="00416629"/>
    <w:rsid w:val="004224CB"/>
    <w:rsid w:val="00422784"/>
    <w:rsid w:val="004266A4"/>
    <w:rsid w:val="00431742"/>
    <w:rsid w:val="00431AF2"/>
    <w:rsid w:val="00432A4E"/>
    <w:rsid w:val="00433016"/>
    <w:rsid w:val="00433BAB"/>
    <w:rsid w:val="004362CF"/>
    <w:rsid w:val="004375A6"/>
    <w:rsid w:val="004379D1"/>
    <w:rsid w:val="00437CEA"/>
    <w:rsid w:val="00441ADC"/>
    <w:rsid w:val="00445837"/>
    <w:rsid w:val="00447383"/>
    <w:rsid w:val="00450C18"/>
    <w:rsid w:val="00451D01"/>
    <w:rsid w:val="004549C7"/>
    <w:rsid w:val="00454B86"/>
    <w:rsid w:val="00456196"/>
    <w:rsid w:val="00457E4E"/>
    <w:rsid w:val="00460F91"/>
    <w:rsid w:val="0046108C"/>
    <w:rsid w:val="00461EF9"/>
    <w:rsid w:val="00462641"/>
    <w:rsid w:val="00463608"/>
    <w:rsid w:val="00464F60"/>
    <w:rsid w:val="00467AFB"/>
    <w:rsid w:val="00470057"/>
    <w:rsid w:val="00470AA7"/>
    <w:rsid w:val="00471011"/>
    <w:rsid w:val="00471F82"/>
    <w:rsid w:val="00474CA6"/>
    <w:rsid w:val="004755AD"/>
    <w:rsid w:val="00476A31"/>
    <w:rsid w:val="00483290"/>
    <w:rsid w:val="004839D8"/>
    <w:rsid w:val="0048496C"/>
    <w:rsid w:val="00484EE8"/>
    <w:rsid w:val="004856BF"/>
    <w:rsid w:val="00486022"/>
    <w:rsid w:val="004877C4"/>
    <w:rsid w:val="0049144F"/>
    <w:rsid w:val="00493647"/>
    <w:rsid w:val="00493760"/>
    <w:rsid w:val="00495165"/>
    <w:rsid w:val="00496028"/>
    <w:rsid w:val="004A021F"/>
    <w:rsid w:val="004A070E"/>
    <w:rsid w:val="004A0B59"/>
    <w:rsid w:val="004A10E2"/>
    <w:rsid w:val="004A1A33"/>
    <w:rsid w:val="004A456D"/>
    <w:rsid w:val="004A544A"/>
    <w:rsid w:val="004A7FC1"/>
    <w:rsid w:val="004B11D6"/>
    <w:rsid w:val="004B305C"/>
    <w:rsid w:val="004B41F7"/>
    <w:rsid w:val="004B698E"/>
    <w:rsid w:val="004C0B5A"/>
    <w:rsid w:val="004C3A56"/>
    <w:rsid w:val="004C41FD"/>
    <w:rsid w:val="004C4355"/>
    <w:rsid w:val="004C5FFA"/>
    <w:rsid w:val="004C70B9"/>
    <w:rsid w:val="004D044C"/>
    <w:rsid w:val="004D5535"/>
    <w:rsid w:val="004E149B"/>
    <w:rsid w:val="004E235D"/>
    <w:rsid w:val="004E2AC2"/>
    <w:rsid w:val="004E2B13"/>
    <w:rsid w:val="004E3166"/>
    <w:rsid w:val="004E33B4"/>
    <w:rsid w:val="004E3C3D"/>
    <w:rsid w:val="004E5933"/>
    <w:rsid w:val="004E6814"/>
    <w:rsid w:val="004E7A30"/>
    <w:rsid w:val="004E7C1C"/>
    <w:rsid w:val="004F0A23"/>
    <w:rsid w:val="004F3F7E"/>
    <w:rsid w:val="004F633F"/>
    <w:rsid w:val="004F789E"/>
    <w:rsid w:val="004F7B52"/>
    <w:rsid w:val="00500E5F"/>
    <w:rsid w:val="00501C54"/>
    <w:rsid w:val="005035DC"/>
    <w:rsid w:val="00504673"/>
    <w:rsid w:val="00512256"/>
    <w:rsid w:val="0051391D"/>
    <w:rsid w:val="00514C45"/>
    <w:rsid w:val="00516F52"/>
    <w:rsid w:val="005207CB"/>
    <w:rsid w:val="0052093E"/>
    <w:rsid w:val="00521178"/>
    <w:rsid w:val="005214BB"/>
    <w:rsid w:val="00523093"/>
    <w:rsid w:val="005244D6"/>
    <w:rsid w:val="00527160"/>
    <w:rsid w:val="00532B30"/>
    <w:rsid w:val="00535DEE"/>
    <w:rsid w:val="005367F0"/>
    <w:rsid w:val="005373ED"/>
    <w:rsid w:val="00541FF3"/>
    <w:rsid w:val="00542C1E"/>
    <w:rsid w:val="00544248"/>
    <w:rsid w:val="00545004"/>
    <w:rsid w:val="00545CDB"/>
    <w:rsid w:val="00547962"/>
    <w:rsid w:val="00547CE2"/>
    <w:rsid w:val="005542F9"/>
    <w:rsid w:val="00554593"/>
    <w:rsid w:val="0055586E"/>
    <w:rsid w:val="00556E3C"/>
    <w:rsid w:val="00557B9C"/>
    <w:rsid w:val="0056067F"/>
    <w:rsid w:val="00560C1F"/>
    <w:rsid w:val="005613C3"/>
    <w:rsid w:val="0056275B"/>
    <w:rsid w:val="005654A2"/>
    <w:rsid w:val="005705A3"/>
    <w:rsid w:val="00570E9D"/>
    <w:rsid w:val="005710CD"/>
    <w:rsid w:val="00573207"/>
    <w:rsid w:val="00574964"/>
    <w:rsid w:val="00574F6D"/>
    <w:rsid w:val="00581323"/>
    <w:rsid w:val="00581ECF"/>
    <w:rsid w:val="00590843"/>
    <w:rsid w:val="0059219D"/>
    <w:rsid w:val="0059260B"/>
    <w:rsid w:val="00592C9B"/>
    <w:rsid w:val="00594526"/>
    <w:rsid w:val="005945DB"/>
    <w:rsid w:val="00596048"/>
    <w:rsid w:val="00596919"/>
    <w:rsid w:val="00596A82"/>
    <w:rsid w:val="005972DF"/>
    <w:rsid w:val="005974CD"/>
    <w:rsid w:val="0059763E"/>
    <w:rsid w:val="005A2C2C"/>
    <w:rsid w:val="005A3525"/>
    <w:rsid w:val="005A5114"/>
    <w:rsid w:val="005A540F"/>
    <w:rsid w:val="005A62C1"/>
    <w:rsid w:val="005A691B"/>
    <w:rsid w:val="005A72C5"/>
    <w:rsid w:val="005A7C09"/>
    <w:rsid w:val="005B19D5"/>
    <w:rsid w:val="005B3E59"/>
    <w:rsid w:val="005B6394"/>
    <w:rsid w:val="005C067C"/>
    <w:rsid w:val="005C2C69"/>
    <w:rsid w:val="005C30B6"/>
    <w:rsid w:val="005C40F0"/>
    <w:rsid w:val="005C4621"/>
    <w:rsid w:val="005C4A9F"/>
    <w:rsid w:val="005C52C5"/>
    <w:rsid w:val="005C52D5"/>
    <w:rsid w:val="005C7117"/>
    <w:rsid w:val="005D15D9"/>
    <w:rsid w:val="005D1A1D"/>
    <w:rsid w:val="005D1F3D"/>
    <w:rsid w:val="005D2F48"/>
    <w:rsid w:val="005D54D1"/>
    <w:rsid w:val="005D7B0C"/>
    <w:rsid w:val="005E0C5C"/>
    <w:rsid w:val="005E113B"/>
    <w:rsid w:val="005E1999"/>
    <w:rsid w:val="005E242E"/>
    <w:rsid w:val="005E3530"/>
    <w:rsid w:val="005E363C"/>
    <w:rsid w:val="005E36C6"/>
    <w:rsid w:val="005E4A3C"/>
    <w:rsid w:val="005E5D98"/>
    <w:rsid w:val="005E6F1E"/>
    <w:rsid w:val="005E752D"/>
    <w:rsid w:val="005E7536"/>
    <w:rsid w:val="005F0E97"/>
    <w:rsid w:val="005F1DF8"/>
    <w:rsid w:val="005F5022"/>
    <w:rsid w:val="005F6EF4"/>
    <w:rsid w:val="005F7092"/>
    <w:rsid w:val="00600340"/>
    <w:rsid w:val="0060189D"/>
    <w:rsid w:val="0060258A"/>
    <w:rsid w:val="00605055"/>
    <w:rsid w:val="00605DA6"/>
    <w:rsid w:val="00605E17"/>
    <w:rsid w:val="0060669A"/>
    <w:rsid w:val="00606C10"/>
    <w:rsid w:val="00610604"/>
    <w:rsid w:val="006107C1"/>
    <w:rsid w:val="006114F6"/>
    <w:rsid w:val="006130F4"/>
    <w:rsid w:val="00613C13"/>
    <w:rsid w:val="00616AF6"/>
    <w:rsid w:val="00616E18"/>
    <w:rsid w:val="006178F7"/>
    <w:rsid w:val="00617C0C"/>
    <w:rsid w:val="00617D8B"/>
    <w:rsid w:val="006209CA"/>
    <w:rsid w:val="00624A83"/>
    <w:rsid w:val="00624BB7"/>
    <w:rsid w:val="006256F2"/>
    <w:rsid w:val="00625D8E"/>
    <w:rsid w:val="00625FF9"/>
    <w:rsid w:val="00626873"/>
    <w:rsid w:val="00626EC7"/>
    <w:rsid w:val="0062729A"/>
    <w:rsid w:val="006302BB"/>
    <w:rsid w:val="00630A64"/>
    <w:rsid w:val="00632232"/>
    <w:rsid w:val="00633799"/>
    <w:rsid w:val="00635019"/>
    <w:rsid w:val="006356F9"/>
    <w:rsid w:val="006404D6"/>
    <w:rsid w:val="00640AB8"/>
    <w:rsid w:val="00645C0E"/>
    <w:rsid w:val="00645D2B"/>
    <w:rsid w:val="0064774F"/>
    <w:rsid w:val="00652E93"/>
    <w:rsid w:val="00653CEE"/>
    <w:rsid w:val="00653FA7"/>
    <w:rsid w:val="00655A76"/>
    <w:rsid w:val="00657EAD"/>
    <w:rsid w:val="00661569"/>
    <w:rsid w:val="00663A1E"/>
    <w:rsid w:val="00664B1E"/>
    <w:rsid w:val="00665402"/>
    <w:rsid w:val="00666B09"/>
    <w:rsid w:val="006677FE"/>
    <w:rsid w:val="00667890"/>
    <w:rsid w:val="00670D06"/>
    <w:rsid w:val="00671232"/>
    <w:rsid w:val="00671DAB"/>
    <w:rsid w:val="00675599"/>
    <w:rsid w:val="00675C81"/>
    <w:rsid w:val="00675F43"/>
    <w:rsid w:val="0067669F"/>
    <w:rsid w:val="006766AA"/>
    <w:rsid w:val="00676925"/>
    <w:rsid w:val="0067698A"/>
    <w:rsid w:val="00676AC3"/>
    <w:rsid w:val="00681866"/>
    <w:rsid w:val="006818D1"/>
    <w:rsid w:val="00682C9C"/>
    <w:rsid w:val="006836AC"/>
    <w:rsid w:val="00691F37"/>
    <w:rsid w:val="00694595"/>
    <w:rsid w:val="0069532B"/>
    <w:rsid w:val="00697037"/>
    <w:rsid w:val="006A0D83"/>
    <w:rsid w:val="006A106A"/>
    <w:rsid w:val="006A1895"/>
    <w:rsid w:val="006A2D7F"/>
    <w:rsid w:val="006A5A9A"/>
    <w:rsid w:val="006A5EC5"/>
    <w:rsid w:val="006B04AE"/>
    <w:rsid w:val="006B04FE"/>
    <w:rsid w:val="006B077A"/>
    <w:rsid w:val="006B28B7"/>
    <w:rsid w:val="006B2978"/>
    <w:rsid w:val="006B3165"/>
    <w:rsid w:val="006B4EA2"/>
    <w:rsid w:val="006B72B9"/>
    <w:rsid w:val="006C14D5"/>
    <w:rsid w:val="006C20E8"/>
    <w:rsid w:val="006C2BCD"/>
    <w:rsid w:val="006C3358"/>
    <w:rsid w:val="006C3594"/>
    <w:rsid w:val="006C418C"/>
    <w:rsid w:val="006C51CF"/>
    <w:rsid w:val="006C5775"/>
    <w:rsid w:val="006C5E16"/>
    <w:rsid w:val="006C6768"/>
    <w:rsid w:val="006C7C00"/>
    <w:rsid w:val="006D3F04"/>
    <w:rsid w:val="006D44FF"/>
    <w:rsid w:val="006D7166"/>
    <w:rsid w:val="006D72FE"/>
    <w:rsid w:val="006D76ED"/>
    <w:rsid w:val="006D77A7"/>
    <w:rsid w:val="006D77C9"/>
    <w:rsid w:val="006E28B1"/>
    <w:rsid w:val="006E2DBE"/>
    <w:rsid w:val="006E3D03"/>
    <w:rsid w:val="006E6134"/>
    <w:rsid w:val="006E6E87"/>
    <w:rsid w:val="006F12F0"/>
    <w:rsid w:val="006F1CCE"/>
    <w:rsid w:val="006F2DD6"/>
    <w:rsid w:val="006F3ABC"/>
    <w:rsid w:val="006F5998"/>
    <w:rsid w:val="006F5DFD"/>
    <w:rsid w:val="006F74E2"/>
    <w:rsid w:val="00700389"/>
    <w:rsid w:val="00700FB1"/>
    <w:rsid w:val="0070106F"/>
    <w:rsid w:val="00701537"/>
    <w:rsid w:val="0070159B"/>
    <w:rsid w:val="007019B5"/>
    <w:rsid w:val="00702907"/>
    <w:rsid w:val="0070481F"/>
    <w:rsid w:val="00705544"/>
    <w:rsid w:val="00707B5E"/>
    <w:rsid w:val="007103BA"/>
    <w:rsid w:val="007148F1"/>
    <w:rsid w:val="007154F0"/>
    <w:rsid w:val="00715739"/>
    <w:rsid w:val="00716525"/>
    <w:rsid w:val="00716E16"/>
    <w:rsid w:val="00720FB7"/>
    <w:rsid w:val="00721C50"/>
    <w:rsid w:val="00721D49"/>
    <w:rsid w:val="00722129"/>
    <w:rsid w:val="00723C23"/>
    <w:rsid w:val="00723F28"/>
    <w:rsid w:val="00724C0F"/>
    <w:rsid w:val="007259E9"/>
    <w:rsid w:val="0073003B"/>
    <w:rsid w:val="00730254"/>
    <w:rsid w:val="00732272"/>
    <w:rsid w:val="00736553"/>
    <w:rsid w:val="007375C1"/>
    <w:rsid w:val="00737D88"/>
    <w:rsid w:val="00737DDA"/>
    <w:rsid w:val="007407FB"/>
    <w:rsid w:val="00741A65"/>
    <w:rsid w:val="00741C10"/>
    <w:rsid w:val="007426E7"/>
    <w:rsid w:val="00742750"/>
    <w:rsid w:val="00743BFB"/>
    <w:rsid w:val="00744DE8"/>
    <w:rsid w:val="00744EA7"/>
    <w:rsid w:val="007465C7"/>
    <w:rsid w:val="00752A41"/>
    <w:rsid w:val="00753D83"/>
    <w:rsid w:val="00753EB5"/>
    <w:rsid w:val="00754697"/>
    <w:rsid w:val="007546ED"/>
    <w:rsid w:val="007578D0"/>
    <w:rsid w:val="0076115F"/>
    <w:rsid w:val="007615B1"/>
    <w:rsid w:val="007640CF"/>
    <w:rsid w:val="007656ED"/>
    <w:rsid w:val="007666EB"/>
    <w:rsid w:val="007701DD"/>
    <w:rsid w:val="007712C9"/>
    <w:rsid w:val="00772243"/>
    <w:rsid w:val="00772999"/>
    <w:rsid w:val="007743E2"/>
    <w:rsid w:val="00776AC8"/>
    <w:rsid w:val="00776BA8"/>
    <w:rsid w:val="00777CF2"/>
    <w:rsid w:val="007830E1"/>
    <w:rsid w:val="00783403"/>
    <w:rsid w:val="007837C5"/>
    <w:rsid w:val="00784A51"/>
    <w:rsid w:val="007856F7"/>
    <w:rsid w:val="00787F97"/>
    <w:rsid w:val="007924CE"/>
    <w:rsid w:val="0079492F"/>
    <w:rsid w:val="0079592A"/>
    <w:rsid w:val="00795FCE"/>
    <w:rsid w:val="007966D0"/>
    <w:rsid w:val="00796745"/>
    <w:rsid w:val="007A61B5"/>
    <w:rsid w:val="007A66AD"/>
    <w:rsid w:val="007A73ED"/>
    <w:rsid w:val="007B138C"/>
    <w:rsid w:val="007B1443"/>
    <w:rsid w:val="007B22EB"/>
    <w:rsid w:val="007B24E6"/>
    <w:rsid w:val="007B52C8"/>
    <w:rsid w:val="007C2796"/>
    <w:rsid w:val="007C3DF2"/>
    <w:rsid w:val="007C50D5"/>
    <w:rsid w:val="007D0B68"/>
    <w:rsid w:val="007D24E9"/>
    <w:rsid w:val="007D5BF4"/>
    <w:rsid w:val="007D6CD2"/>
    <w:rsid w:val="007E2795"/>
    <w:rsid w:val="007E2EBF"/>
    <w:rsid w:val="007E43DD"/>
    <w:rsid w:val="007E55EA"/>
    <w:rsid w:val="007F0E71"/>
    <w:rsid w:val="007F16ED"/>
    <w:rsid w:val="007F28D7"/>
    <w:rsid w:val="007F422C"/>
    <w:rsid w:val="007F7F80"/>
    <w:rsid w:val="00800E9F"/>
    <w:rsid w:val="00803101"/>
    <w:rsid w:val="00803624"/>
    <w:rsid w:val="0080662E"/>
    <w:rsid w:val="008112BD"/>
    <w:rsid w:val="008137DB"/>
    <w:rsid w:val="008146B7"/>
    <w:rsid w:val="00814E7D"/>
    <w:rsid w:val="008151AB"/>
    <w:rsid w:val="00815CE3"/>
    <w:rsid w:val="00820F51"/>
    <w:rsid w:val="008217DD"/>
    <w:rsid w:val="0082471A"/>
    <w:rsid w:val="008257AF"/>
    <w:rsid w:val="00825997"/>
    <w:rsid w:val="00826209"/>
    <w:rsid w:val="008279C8"/>
    <w:rsid w:val="008305AD"/>
    <w:rsid w:val="00830A4E"/>
    <w:rsid w:val="00830D87"/>
    <w:rsid w:val="008336A7"/>
    <w:rsid w:val="0083462E"/>
    <w:rsid w:val="00835A4D"/>
    <w:rsid w:val="00840E3C"/>
    <w:rsid w:val="008445A0"/>
    <w:rsid w:val="00844986"/>
    <w:rsid w:val="008468F5"/>
    <w:rsid w:val="00847FF6"/>
    <w:rsid w:val="0085199F"/>
    <w:rsid w:val="00851D40"/>
    <w:rsid w:val="00852F09"/>
    <w:rsid w:val="0085414E"/>
    <w:rsid w:val="0085462E"/>
    <w:rsid w:val="00854D91"/>
    <w:rsid w:val="00857653"/>
    <w:rsid w:val="00861D38"/>
    <w:rsid w:val="00863435"/>
    <w:rsid w:val="008637E9"/>
    <w:rsid w:val="00865180"/>
    <w:rsid w:val="008668D2"/>
    <w:rsid w:val="00867479"/>
    <w:rsid w:val="00867625"/>
    <w:rsid w:val="008723DF"/>
    <w:rsid w:val="0087403A"/>
    <w:rsid w:val="00874327"/>
    <w:rsid w:val="00874B2A"/>
    <w:rsid w:val="00874BA7"/>
    <w:rsid w:val="008758F8"/>
    <w:rsid w:val="00877547"/>
    <w:rsid w:val="00877CC5"/>
    <w:rsid w:val="008809EE"/>
    <w:rsid w:val="0088142A"/>
    <w:rsid w:val="00883285"/>
    <w:rsid w:val="008862C8"/>
    <w:rsid w:val="008868CE"/>
    <w:rsid w:val="00887473"/>
    <w:rsid w:val="008909AE"/>
    <w:rsid w:val="00890B03"/>
    <w:rsid w:val="00890C27"/>
    <w:rsid w:val="00891519"/>
    <w:rsid w:val="0089185D"/>
    <w:rsid w:val="00894973"/>
    <w:rsid w:val="00894DCE"/>
    <w:rsid w:val="00895C2F"/>
    <w:rsid w:val="00896AC0"/>
    <w:rsid w:val="008A27FE"/>
    <w:rsid w:val="008A348C"/>
    <w:rsid w:val="008A6600"/>
    <w:rsid w:val="008A6C61"/>
    <w:rsid w:val="008A7B7D"/>
    <w:rsid w:val="008A7D81"/>
    <w:rsid w:val="008B1C68"/>
    <w:rsid w:val="008B1DC6"/>
    <w:rsid w:val="008B2BEC"/>
    <w:rsid w:val="008B3F17"/>
    <w:rsid w:val="008B4C20"/>
    <w:rsid w:val="008B5211"/>
    <w:rsid w:val="008B73DA"/>
    <w:rsid w:val="008B7BC6"/>
    <w:rsid w:val="008C0935"/>
    <w:rsid w:val="008C1428"/>
    <w:rsid w:val="008C5342"/>
    <w:rsid w:val="008C711E"/>
    <w:rsid w:val="008D262C"/>
    <w:rsid w:val="008D41FD"/>
    <w:rsid w:val="008D4523"/>
    <w:rsid w:val="008D46CE"/>
    <w:rsid w:val="008D60B4"/>
    <w:rsid w:val="008D60B7"/>
    <w:rsid w:val="008E2EB9"/>
    <w:rsid w:val="008E319D"/>
    <w:rsid w:val="008E5AE6"/>
    <w:rsid w:val="008F14B2"/>
    <w:rsid w:val="008F1573"/>
    <w:rsid w:val="008F3532"/>
    <w:rsid w:val="008F593A"/>
    <w:rsid w:val="008F5AC0"/>
    <w:rsid w:val="00900156"/>
    <w:rsid w:val="00900214"/>
    <w:rsid w:val="0090068B"/>
    <w:rsid w:val="00901E33"/>
    <w:rsid w:val="009031AF"/>
    <w:rsid w:val="009060BA"/>
    <w:rsid w:val="009068AC"/>
    <w:rsid w:val="00906F64"/>
    <w:rsid w:val="00912A5F"/>
    <w:rsid w:val="0091439B"/>
    <w:rsid w:val="00914AE2"/>
    <w:rsid w:val="00915380"/>
    <w:rsid w:val="0092238A"/>
    <w:rsid w:val="009229BF"/>
    <w:rsid w:val="009230B8"/>
    <w:rsid w:val="00923515"/>
    <w:rsid w:val="00923764"/>
    <w:rsid w:val="009241D2"/>
    <w:rsid w:val="00926724"/>
    <w:rsid w:val="009271ED"/>
    <w:rsid w:val="00927A72"/>
    <w:rsid w:val="00930CD3"/>
    <w:rsid w:val="009344F0"/>
    <w:rsid w:val="00935C82"/>
    <w:rsid w:val="00936FA0"/>
    <w:rsid w:val="00937671"/>
    <w:rsid w:val="00940A21"/>
    <w:rsid w:val="009428F9"/>
    <w:rsid w:val="00944AA5"/>
    <w:rsid w:val="009459D7"/>
    <w:rsid w:val="00947715"/>
    <w:rsid w:val="00955162"/>
    <w:rsid w:val="0095703A"/>
    <w:rsid w:val="00964E7A"/>
    <w:rsid w:val="00964FEB"/>
    <w:rsid w:val="0096795B"/>
    <w:rsid w:val="00967C6C"/>
    <w:rsid w:val="00970A84"/>
    <w:rsid w:val="00970F85"/>
    <w:rsid w:val="00971E79"/>
    <w:rsid w:val="00972D6B"/>
    <w:rsid w:val="009736EC"/>
    <w:rsid w:val="00974A24"/>
    <w:rsid w:val="009752BA"/>
    <w:rsid w:val="009755DC"/>
    <w:rsid w:val="00976991"/>
    <w:rsid w:val="0098241A"/>
    <w:rsid w:val="00982C23"/>
    <w:rsid w:val="00982D92"/>
    <w:rsid w:val="00984B6D"/>
    <w:rsid w:val="009851A9"/>
    <w:rsid w:val="00986B18"/>
    <w:rsid w:val="0099299A"/>
    <w:rsid w:val="00992DB1"/>
    <w:rsid w:val="00992DE3"/>
    <w:rsid w:val="00994642"/>
    <w:rsid w:val="00995078"/>
    <w:rsid w:val="009954A5"/>
    <w:rsid w:val="00997E21"/>
    <w:rsid w:val="00997E68"/>
    <w:rsid w:val="009A1C76"/>
    <w:rsid w:val="009A278A"/>
    <w:rsid w:val="009A3213"/>
    <w:rsid w:val="009A331C"/>
    <w:rsid w:val="009A591B"/>
    <w:rsid w:val="009A626E"/>
    <w:rsid w:val="009A6852"/>
    <w:rsid w:val="009A7580"/>
    <w:rsid w:val="009B2096"/>
    <w:rsid w:val="009B5715"/>
    <w:rsid w:val="009C02D0"/>
    <w:rsid w:val="009C1555"/>
    <w:rsid w:val="009C2108"/>
    <w:rsid w:val="009C3A04"/>
    <w:rsid w:val="009C5A0A"/>
    <w:rsid w:val="009C5A16"/>
    <w:rsid w:val="009D34DA"/>
    <w:rsid w:val="009D3C39"/>
    <w:rsid w:val="009D3F38"/>
    <w:rsid w:val="009D401E"/>
    <w:rsid w:val="009D4064"/>
    <w:rsid w:val="009D4FDA"/>
    <w:rsid w:val="009D55E9"/>
    <w:rsid w:val="009D6845"/>
    <w:rsid w:val="009E1C24"/>
    <w:rsid w:val="009E31B4"/>
    <w:rsid w:val="009E4384"/>
    <w:rsid w:val="009E5AA7"/>
    <w:rsid w:val="009E746A"/>
    <w:rsid w:val="009F0916"/>
    <w:rsid w:val="009F0A32"/>
    <w:rsid w:val="009F0D4A"/>
    <w:rsid w:val="009F33EC"/>
    <w:rsid w:val="009F3DC1"/>
    <w:rsid w:val="009F53C3"/>
    <w:rsid w:val="00A01FE6"/>
    <w:rsid w:val="00A02BF2"/>
    <w:rsid w:val="00A04873"/>
    <w:rsid w:val="00A0659E"/>
    <w:rsid w:val="00A073BA"/>
    <w:rsid w:val="00A114EC"/>
    <w:rsid w:val="00A12533"/>
    <w:rsid w:val="00A12848"/>
    <w:rsid w:val="00A13102"/>
    <w:rsid w:val="00A13673"/>
    <w:rsid w:val="00A143B7"/>
    <w:rsid w:val="00A14822"/>
    <w:rsid w:val="00A1526B"/>
    <w:rsid w:val="00A173DA"/>
    <w:rsid w:val="00A177E8"/>
    <w:rsid w:val="00A203AF"/>
    <w:rsid w:val="00A203EA"/>
    <w:rsid w:val="00A208BC"/>
    <w:rsid w:val="00A2793C"/>
    <w:rsid w:val="00A30FEC"/>
    <w:rsid w:val="00A311B6"/>
    <w:rsid w:val="00A32F17"/>
    <w:rsid w:val="00A33910"/>
    <w:rsid w:val="00A37D31"/>
    <w:rsid w:val="00A37EB4"/>
    <w:rsid w:val="00A40895"/>
    <w:rsid w:val="00A40A9B"/>
    <w:rsid w:val="00A41C09"/>
    <w:rsid w:val="00A507CD"/>
    <w:rsid w:val="00A50F90"/>
    <w:rsid w:val="00A51303"/>
    <w:rsid w:val="00A519B8"/>
    <w:rsid w:val="00A51B15"/>
    <w:rsid w:val="00A52BF6"/>
    <w:rsid w:val="00A52C60"/>
    <w:rsid w:val="00A54F53"/>
    <w:rsid w:val="00A5715C"/>
    <w:rsid w:val="00A57DC5"/>
    <w:rsid w:val="00A607A7"/>
    <w:rsid w:val="00A62D25"/>
    <w:rsid w:val="00A6375C"/>
    <w:rsid w:val="00A63AB0"/>
    <w:rsid w:val="00A63AD8"/>
    <w:rsid w:val="00A73CA2"/>
    <w:rsid w:val="00A74E39"/>
    <w:rsid w:val="00A758EA"/>
    <w:rsid w:val="00A76B96"/>
    <w:rsid w:val="00A81D4B"/>
    <w:rsid w:val="00A82DFA"/>
    <w:rsid w:val="00A83592"/>
    <w:rsid w:val="00A83D95"/>
    <w:rsid w:val="00A8510D"/>
    <w:rsid w:val="00A86E4A"/>
    <w:rsid w:val="00A9079C"/>
    <w:rsid w:val="00A908D5"/>
    <w:rsid w:val="00A90FEB"/>
    <w:rsid w:val="00A91CE0"/>
    <w:rsid w:val="00A930B2"/>
    <w:rsid w:val="00A93D3D"/>
    <w:rsid w:val="00A95F53"/>
    <w:rsid w:val="00A973AE"/>
    <w:rsid w:val="00A975CA"/>
    <w:rsid w:val="00A9784C"/>
    <w:rsid w:val="00AA075E"/>
    <w:rsid w:val="00AA5487"/>
    <w:rsid w:val="00AA5E47"/>
    <w:rsid w:val="00AA7A25"/>
    <w:rsid w:val="00AB00A9"/>
    <w:rsid w:val="00AB7E58"/>
    <w:rsid w:val="00AC21AE"/>
    <w:rsid w:val="00AC2F45"/>
    <w:rsid w:val="00AC7DE2"/>
    <w:rsid w:val="00AD0052"/>
    <w:rsid w:val="00AD0AF3"/>
    <w:rsid w:val="00AD0BD9"/>
    <w:rsid w:val="00AD3488"/>
    <w:rsid w:val="00AD3764"/>
    <w:rsid w:val="00AE077A"/>
    <w:rsid w:val="00AE3DB7"/>
    <w:rsid w:val="00AE47DB"/>
    <w:rsid w:val="00AE7AF0"/>
    <w:rsid w:val="00AF108B"/>
    <w:rsid w:val="00AF1875"/>
    <w:rsid w:val="00AF31EB"/>
    <w:rsid w:val="00B00116"/>
    <w:rsid w:val="00B01057"/>
    <w:rsid w:val="00B0130F"/>
    <w:rsid w:val="00B01E3E"/>
    <w:rsid w:val="00B020D3"/>
    <w:rsid w:val="00B02B75"/>
    <w:rsid w:val="00B03C58"/>
    <w:rsid w:val="00B05709"/>
    <w:rsid w:val="00B05B00"/>
    <w:rsid w:val="00B100B5"/>
    <w:rsid w:val="00B134DD"/>
    <w:rsid w:val="00B15AA5"/>
    <w:rsid w:val="00B16791"/>
    <w:rsid w:val="00B1688C"/>
    <w:rsid w:val="00B22106"/>
    <w:rsid w:val="00B249EF"/>
    <w:rsid w:val="00B27213"/>
    <w:rsid w:val="00B3077F"/>
    <w:rsid w:val="00B3532D"/>
    <w:rsid w:val="00B4343B"/>
    <w:rsid w:val="00B43A84"/>
    <w:rsid w:val="00B44216"/>
    <w:rsid w:val="00B44C60"/>
    <w:rsid w:val="00B44F3C"/>
    <w:rsid w:val="00B455D8"/>
    <w:rsid w:val="00B47125"/>
    <w:rsid w:val="00B52DB0"/>
    <w:rsid w:val="00B5422E"/>
    <w:rsid w:val="00B544E3"/>
    <w:rsid w:val="00B548A7"/>
    <w:rsid w:val="00B54E63"/>
    <w:rsid w:val="00B5512C"/>
    <w:rsid w:val="00B57539"/>
    <w:rsid w:val="00B606D1"/>
    <w:rsid w:val="00B62763"/>
    <w:rsid w:val="00B632EE"/>
    <w:rsid w:val="00B6403E"/>
    <w:rsid w:val="00B64961"/>
    <w:rsid w:val="00B6509E"/>
    <w:rsid w:val="00B6754F"/>
    <w:rsid w:val="00B70861"/>
    <w:rsid w:val="00B7212C"/>
    <w:rsid w:val="00B72461"/>
    <w:rsid w:val="00B731FA"/>
    <w:rsid w:val="00B745A6"/>
    <w:rsid w:val="00B746F1"/>
    <w:rsid w:val="00B768F5"/>
    <w:rsid w:val="00B7721E"/>
    <w:rsid w:val="00B77978"/>
    <w:rsid w:val="00B8124F"/>
    <w:rsid w:val="00B81C06"/>
    <w:rsid w:val="00B90D30"/>
    <w:rsid w:val="00B9207F"/>
    <w:rsid w:val="00B95F34"/>
    <w:rsid w:val="00BA0DF7"/>
    <w:rsid w:val="00BA3D84"/>
    <w:rsid w:val="00BA7329"/>
    <w:rsid w:val="00BA7A63"/>
    <w:rsid w:val="00BB1772"/>
    <w:rsid w:val="00BB21D4"/>
    <w:rsid w:val="00BB6A54"/>
    <w:rsid w:val="00BB7CA6"/>
    <w:rsid w:val="00BB7E0D"/>
    <w:rsid w:val="00BC2B0E"/>
    <w:rsid w:val="00BC4F4B"/>
    <w:rsid w:val="00BC7BAD"/>
    <w:rsid w:val="00BD145A"/>
    <w:rsid w:val="00BD53B5"/>
    <w:rsid w:val="00BD5F9B"/>
    <w:rsid w:val="00BE15CD"/>
    <w:rsid w:val="00BE2966"/>
    <w:rsid w:val="00BE5B56"/>
    <w:rsid w:val="00BE6270"/>
    <w:rsid w:val="00BE6D3A"/>
    <w:rsid w:val="00BF0BFC"/>
    <w:rsid w:val="00BF336C"/>
    <w:rsid w:val="00BF33BB"/>
    <w:rsid w:val="00BF390B"/>
    <w:rsid w:val="00BF4C19"/>
    <w:rsid w:val="00BF4CEE"/>
    <w:rsid w:val="00BF79B8"/>
    <w:rsid w:val="00C000D1"/>
    <w:rsid w:val="00C012F2"/>
    <w:rsid w:val="00C024EC"/>
    <w:rsid w:val="00C0270C"/>
    <w:rsid w:val="00C04B1F"/>
    <w:rsid w:val="00C06274"/>
    <w:rsid w:val="00C075E9"/>
    <w:rsid w:val="00C07EFE"/>
    <w:rsid w:val="00C10039"/>
    <w:rsid w:val="00C11EEA"/>
    <w:rsid w:val="00C1369B"/>
    <w:rsid w:val="00C1527D"/>
    <w:rsid w:val="00C16310"/>
    <w:rsid w:val="00C174BF"/>
    <w:rsid w:val="00C17C5D"/>
    <w:rsid w:val="00C213CA"/>
    <w:rsid w:val="00C22D2E"/>
    <w:rsid w:val="00C23926"/>
    <w:rsid w:val="00C246E8"/>
    <w:rsid w:val="00C258F5"/>
    <w:rsid w:val="00C26663"/>
    <w:rsid w:val="00C309F2"/>
    <w:rsid w:val="00C34784"/>
    <w:rsid w:val="00C34DEC"/>
    <w:rsid w:val="00C44008"/>
    <w:rsid w:val="00C44DF2"/>
    <w:rsid w:val="00C458AA"/>
    <w:rsid w:val="00C46866"/>
    <w:rsid w:val="00C46B80"/>
    <w:rsid w:val="00C47C49"/>
    <w:rsid w:val="00C53FAD"/>
    <w:rsid w:val="00C56407"/>
    <w:rsid w:val="00C5666D"/>
    <w:rsid w:val="00C574B5"/>
    <w:rsid w:val="00C614C0"/>
    <w:rsid w:val="00C633EB"/>
    <w:rsid w:val="00C63B44"/>
    <w:rsid w:val="00C63C70"/>
    <w:rsid w:val="00C64DA7"/>
    <w:rsid w:val="00C65F51"/>
    <w:rsid w:val="00C664FB"/>
    <w:rsid w:val="00C7087F"/>
    <w:rsid w:val="00C71385"/>
    <w:rsid w:val="00C7158C"/>
    <w:rsid w:val="00C728B3"/>
    <w:rsid w:val="00C75DE0"/>
    <w:rsid w:val="00C762E4"/>
    <w:rsid w:val="00C7741B"/>
    <w:rsid w:val="00C77642"/>
    <w:rsid w:val="00C81FAC"/>
    <w:rsid w:val="00C83174"/>
    <w:rsid w:val="00C8562C"/>
    <w:rsid w:val="00C862BA"/>
    <w:rsid w:val="00C8796C"/>
    <w:rsid w:val="00C9067D"/>
    <w:rsid w:val="00C90692"/>
    <w:rsid w:val="00C90E86"/>
    <w:rsid w:val="00C9191C"/>
    <w:rsid w:val="00C9741C"/>
    <w:rsid w:val="00C97FD1"/>
    <w:rsid w:val="00CA0A61"/>
    <w:rsid w:val="00CA2611"/>
    <w:rsid w:val="00CA3369"/>
    <w:rsid w:val="00CA33F2"/>
    <w:rsid w:val="00CA3421"/>
    <w:rsid w:val="00CA3C26"/>
    <w:rsid w:val="00CA6ECF"/>
    <w:rsid w:val="00CA7412"/>
    <w:rsid w:val="00CB210C"/>
    <w:rsid w:val="00CB315C"/>
    <w:rsid w:val="00CB365B"/>
    <w:rsid w:val="00CB5151"/>
    <w:rsid w:val="00CB538D"/>
    <w:rsid w:val="00CC1749"/>
    <w:rsid w:val="00CC2811"/>
    <w:rsid w:val="00CC37C3"/>
    <w:rsid w:val="00CC67FA"/>
    <w:rsid w:val="00CD00FE"/>
    <w:rsid w:val="00CD654B"/>
    <w:rsid w:val="00CD78D4"/>
    <w:rsid w:val="00CE1262"/>
    <w:rsid w:val="00CE178D"/>
    <w:rsid w:val="00CE3D46"/>
    <w:rsid w:val="00CE55C0"/>
    <w:rsid w:val="00CF04FB"/>
    <w:rsid w:val="00CF10DC"/>
    <w:rsid w:val="00CF12DB"/>
    <w:rsid w:val="00CF14F8"/>
    <w:rsid w:val="00CF4E14"/>
    <w:rsid w:val="00CF5870"/>
    <w:rsid w:val="00CF5D10"/>
    <w:rsid w:val="00D00314"/>
    <w:rsid w:val="00D00693"/>
    <w:rsid w:val="00D01C58"/>
    <w:rsid w:val="00D02722"/>
    <w:rsid w:val="00D05B5C"/>
    <w:rsid w:val="00D11AE8"/>
    <w:rsid w:val="00D13680"/>
    <w:rsid w:val="00D13B76"/>
    <w:rsid w:val="00D153B4"/>
    <w:rsid w:val="00D15F00"/>
    <w:rsid w:val="00D167D4"/>
    <w:rsid w:val="00D16870"/>
    <w:rsid w:val="00D169AE"/>
    <w:rsid w:val="00D16FA4"/>
    <w:rsid w:val="00D17A39"/>
    <w:rsid w:val="00D207BD"/>
    <w:rsid w:val="00D213BC"/>
    <w:rsid w:val="00D226CC"/>
    <w:rsid w:val="00D2530F"/>
    <w:rsid w:val="00D26656"/>
    <w:rsid w:val="00D2704E"/>
    <w:rsid w:val="00D31ED0"/>
    <w:rsid w:val="00D35123"/>
    <w:rsid w:val="00D35769"/>
    <w:rsid w:val="00D37DA1"/>
    <w:rsid w:val="00D43F29"/>
    <w:rsid w:val="00D45D68"/>
    <w:rsid w:val="00D50A5F"/>
    <w:rsid w:val="00D50D93"/>
    <w:rsid w:val="00D518D4"/>
    <w:rsid w:val="00D51ABA"/>
    <w:rsid w:val="00D534AA"/>
    <w:rsid w:val="00D534BF"/>
    <w:rsid w:val="00D53A51"/>
    <w:rsid w:val="00D53E16"/>
    <w:rsid w:val="00D55238"/>
    <w:rsid w:val="00D56D12"/>
    <w:rsid w:val="00D60FC7"/>
    <w:rsid w:val="00D62994"/>
    <w:rsid w:val="00D63D77"/>
    <w:rsid w:val="00D6523D"/>
    <w:rsid w:val="00D66076"/>
    <w:rsid w:val="00D6664D"/>
    <w:rsid w:val="00D66C32"/>
    <w:rsid w:val="00D71ACB"/>
    <w:rsid w:val="00D73500"/>
    <w:rsid w:val="00D77F47"/>
    <w:rsid w:val="00D80702"/>
    <w:rsid w:val="00D8132C"/>
    <w:rsid w:val="00D825D5"/>
    <w:rsid w:val="00D83B97"/>
    <w:rsid w:val="00D84540"/>
    <w:rsid w:val="00D849C3"/>
    <w:rsid w:val="00D85CB6"/>
    <w:rsid w:val="00D868D2"/>
    <w:rsid w:val="00D873F7"/>
    <w:rsid w:val="00D87CF9"/>
    <w:rsid w:val="00D9097A"/>
    <w:rsid w:val="00D90D96"/>
    <w:rsid w:val="00D94AFB"/>
    <w:rsid w:val="00D95A80"/>
    <w:rsid w:val="00D96B26"/>
    <w:rsid w:val="00DA21B6"/>
    <w:rsid w:val="00DA3E81"/>
    <w:rsid w:val="00DA572E"/>
    <w:rsid w:val="00DA59F6"/>
    <w:rsid w:val="00DA60F9"/>
    <w:rsid w:val="00DB082E"/>
    <w:rsid w:val="00DB0DC1"/>
    <w:rsid w:val="00DB13A6"/>
    <w:rsid w:val="00DB3BCC"/>
    <w:rsid w:val="00DB578C"/>
    <w:rsid w:val="00DB704C"/>
    <w:rsid w:val="00DB7ECD"/>
    <w:rsid w:val="00DC0412"/>
    <w:rsid w:val="00DC202D"/>
    <w:rsid w:val="00DC497B"/>
    <w:rsid w:val="00DC7141"/>
    <w:rsid w:val="00DD0217"/>
    <w:rsid w:val="00DD0235"/>
    <w:rsid w:val="00DD198C"/>
    <w:rsid w:val="00DD1A28"/>
    <w:rsid w:val="00DD2200"/>
    <w:rsid w:val="00DD2268"/>
    <w:rsid w:val="00DD34E9"/>
    <w:rsid w:val="00DD6BE1"/>
    <w:rsid w:val="00DD7C63"/>
    <w:rsid w:val="00DE2F67"/>
    <w:rsid w:val="00DE42EE"/>
    <w:rsid w:val="00DE4611"/>
    <w:rsid w:val="00DE5E88"/>
    <w:rsid w:val="00DE76E6"/>
    <w:rsid w:val="00DF2996"/>
    <w:rsid w:val="00DF635F"/>
    <w:rsid w:val="00DF66CC"/>
    <w:rsid w:val="00DF675B"/>
    <w:rsid w:val="00E00828"/>
    <w:rsid w:val="00E00A5C"/>
    <w:rsid w:val="00E0109C"/>
    <w:rsid w:val="00E02A37"/>
    <w:rsid w:val="00E04061"/>
    <w:rsid w:val="00E066F0"/>
    <w:rsid w:val="00E076C6"/>
    <w:rsid w:val="00E117F6"/>
    <w:rsid w:val="00E13425"/>
    <w:rsid w:val="00E14437"/>
    <w:rsid w:val="00E16CE6"/>
    <w:rsid w:val="00E16D8A"/>
    <w:rsid w:val="00E17F6E"/>
    <w:rsid w:val="00E20B69"/>
    <w:rsid w:val="00E2130B"/>
    <w:rsid w:val="00E22A58"/>
    <w:rsid w:val="00E23AC3"/>
    <w:rsid w:val="00E271EF"/>
    <w:rsid w:val="00E27328"/>
    <w:rsid w:val="00E316F1"/>
    <w:rsid w:val="00E40D31"/>
    <w:rsid w:val="00E41A3B"/>
    <w:rsid w:val="00E42A80"/>
    <w:rsid w:val="00E43BBA"/>
    <w:rsid w:val="00E45A02"/>
    <w:rsid w:val="00E45A1F"/>
    <w:rsid w:val="00E461A9"/>
    <w:rsid w:val="00E50F81"/>
    <w:rsid w:val="00E52483"/>
    <w:rsid w:val="00E55961"/>
    <w:rsid w:val="00E5789C"/>
    <w:rsid w:val="00E57E2E"/>
    <w:rsid w:val="00E605F7"/>
    <w:rsid w:val="00E60826"/>
    <w:rsid w:val="00E65BEC"/>
    <w:rsid w:val="00E707A9"/>
    <w:rsid w:val="00E708BD"/>
    <w:rsid w:val="00E74676"/>
    <w:rsid w:val="00E75541"/>
    <w:rsid w:val="00E779BB"/>
    <w:rsid w:val="00E810F9"/>
    <w:rsid w:val="00E8132D"/>
    <w:rsid w:val="00E82441"/>
    <w:rsid w:val="00E83161"/>
    <w:rsid w:val="00E83BBA"/>
    <w:rsid w:val="00E86756"/>
    <w:rsid w:val="00E86E59"/>
    <w:rsid w:val="00E878BC"/>
    <w:rsid w:val="00E90FA4"/>
    <w:rsid w:val="00E934EA"/>
    <w:rsid w:val="00E94076"/>
    <w:rsid w:val="00E96DA2"/>
    <w:rsid w:val="00E975E4"/>
    <w:rsid w:val="00EA10E7"/>
    <w:rsid w:val="00EA1B8B"/>
    <w:rsid w:val="00EA39B5"/>
    <w:rsid w:val="00EA46FD"/>
    <w:rsid w:val="00EA5659"/>
    <w:rsid w:val="00EA589C"/>
    <w:rsid w:val="00EA706B"/>
    <w:rsid w:val="00EA710A"/>
    <w:rsid w:val="00EB119C"/>
    <w:rsid w:val="00EB16C9"/>
    <w:rsid w:val="00EB1AD3"/>
    <w:rsid w:val="00EB43C7"/>
    <w:rsid w:val="00EB7B1F"/>
    <w:rsid w:val="00EC01F6"/>
    <w:rsid w:val="00EC078C"/>
    <w:rsid w:val="00EC17B3"/>
    <w:rsid w:val="00EC1BFB"/>
    <w:rsid w:val="00EC2BF1"/>
    <w:rsid w:val="00EC2DD9"/>
    <w:rsid w:val="00EC37B1"/>
    <w:rsid w:val="00EC714D"/>
    <w:rsid w:val="00EC7766"/>
    <w:rsid w:val="00ED1BCC"/>
    <w:rsid w:val="00ED23CA"/>
    <w:rsid w:val="00ED2456"/>
    <w:rsid w:val="00ED26EF"/>
    <w:rsid w:val="00ED33DE"/>
    <w:rsid w:val="00ED4792"/>
    <w:rsid w:val="00ED5729"/>
    <w:rsid w:val="00ED69AA"/>
    <w:rsid w:val="00ED7430"/>
    <w:rsid w:val="00EE185A"/>
    <w:rsid w:val="00EE199B"/>
    <w:rsid w:val="00EE2B69"/>
    <w:rsid w:val="00EE41CE"/>
    <w:rsid w:val="00EE51DC"/>
    <w:rsid w:val="00EE6A31"/>
    <w:rsid w:val="00EF1C9D"/>
    <w:rsid w:val="00EF1DCE"/>
    <w:rsid w:val="00EF39DA"/>
    <w:rsid w:val="00EF3B1D"/>
    <w:rsid w:val="00EF3BA6"/>
    <w:rsid w:val="00EF3DFE"/>
    <w:rsid w:val="00EF3E8C"/>
    <w:rsid w:val="00EF709E"/>
    <w:rsid w:val="00EF7609"/>
    <w:rsid w:val="00EF7CF7"/>
    <w:rsid w:val="00F02DAB"/>
    <w:rsid w:val="00F03D6F"/>
    <w:rsid w:val="00F0778E"/>
    <w:rsid w:val="00F07D93"/>
    <w:rsid w:val="00F119B6"/>
    <w:rsid w:val="00F12244"/>
    <w:rsid w:val="00F12FA1"/>
    <w:rsid w:val="00F1412A"/>
    <w:rsid w:val="00F142CF"/>
    <w:rsid w:val="00F14BBD"/>
    <w:rsid w:val="00F14DC6"/>
    <w:rsid w:val="00F17289"/>
    <w:rsid w:val="00F20145"/>
    <w:rsid w:val="00F21B8E"/>
    <w:rsid w:val="00F22DB6"/>
    <w:rsid w:val="00F2667D"/>
    <w:rsid w:val="00F26E29"/>
    <w:rsid w:val="00F27CEC"/>
    <w:rsid w:val="00F307ED"/>
    <w:rsid w:val="00F3565B"/>
    <w:rsid w:val="00F4071A"/>
    <w:rsid w:val="00F40757"/>
    <w:rsid w:val="00F40B10"/>
    <w:rsid w:val="00F410B1"/>
    <w:rsid w:val="00F42630"/>
    <w:rsid w:val="00F42DA6"/>
    <w:rsid w:val="00F453F7"/>
    <w:rsid w:val="00F4575B"/>
    <w:rsid w:val="00F45FE9"/>
    <w:rsid w:val="00F46AE8"/>
    <w:rsid w:val="00F46BB9"/>
    <w:rsid w:val="00F476C3"/>
    <w:rsid w:val="00F52462"/>
    <w:rsid w:val="00F52D95"/>
    <w:rsid w:val="00F53DEB"/>
    <w:rsid w:val="00F54570"/>
    <w:rsid w:val="00F55E20"/>
    <w:rsid w:val="00F56FC7"/>
    <w:rsid w:val="00F639E7"/>
    <w:rsid w:val="00F655CB"/>
    <w:rsid w:val="00F66B96"/>
    <w:rsid w:val="00F677AD"/>
    <w:rsid w:val="00F70EF3"/>
    <w:rsid w:val="00F742DA"/>
    <w:rsid w:val="00F76A38"/>
    <w:rsid w:val="00F77254"/>
    <w:rsid w:val="00F80088"/>
    <w:rsid w:val="00F806A1"/>
    <w:rsid w:val="00F80CA9"/>
    <w:rsid w:val="00F810F2"/>
    <w:rsid w:val="00F815C3"/>
    <w:rsid w:val="00F825CE"/>
    <w:rsid w:val="00F835B9"/>
    <w:rsid w:val="00F84C81"/>
    <w:rsid w:val="00F9031B"/>
    <w:rsid w:val="00FA0A0B"/>
    <w:rsid w:val="00FA2037"/>
    <w:rsid w:val="00FA2D0D"/>
    <w:rsid w:val="00FA6CE7"/>
    <w:rsid w:val="00FA76AF"/>
    <w:rsid w:val="00FB093E"/>
    <w:rsid w:val="00FB0B7B"/>
    <w:rsid w:val="00FB0FDC"/>
    <w:rsid w:val="00FB1AAA"/>
    <w:rsid w:val="00FB1C9F"/>
    <w:rsid w:val="00FB3180"/>
    <w:rsid w:val="00FB3AAF"/>
    <w:rsid w:val="00FB6B8D"/>
    <w:rsid w:val="00FC0297"/>
    <w:rsid w:val="00FC09F2"/>
    <w:rsid w:val="00FC22B6"/>
    <w:rsid w:val="00FC30BF"/>
    <w:rsid w:val="00FC32BB"/>
    <w:rsid w:val="00FC3DD9"/>
    <w:rsid w:val="00FC4C91"/>
    <w:rsid w:val="00FC7204"/>
    <w:rsid w:val="00FD22D2"/>
    <w:rsid w:val="00FD6E29"/>
    <w:rsid w:val="00FE068E"/>
    <w:rsid w:val="00FE2A2B"/>
    <w:rsid w:val="00FE3D6D"/>
    <w:rsid w:val="00FE4122"/>
    <w:rsid w:val="00FE432E"/>
    <w:rsid w:val="00FE6EB6"/>
    <w:rsid w:val="00FF003F"/>
    <w:rsid w:val="00FF0E70"/>
    <w:rsid w:val="00FF15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3B"/>
    <w:rPr>
      <w:sz w:val="24"/>
      <w:szCs w:val="24"/>
    </w:rPr>
  </w:style>
  <w:style w:type="paragraph" w:styleId="Heading1">
    <w:name w:val="heading 1"/>
    <w:basedOn w:val="Normal"/>
    <w:next w:val="Normal"/>
    <w:link w:val="Heading1Char"/>
    <w:uiPriority w:val="9"/>
    <w:qFormat/>
    <w:rsid w:val="009241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6C3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E1B4E"/>
    <w:rPr>
      <w:rFonts w:ascii="Lucida Grande" w:hAnsi="Lucida Grande" w:cs="Lucida Grande"/>
      <w:sz w:val="18"/>
      <w:szCs w:val="18"/>
    </w:rPr>
  </w:style>
  <w:style w:type="character" w:customStyle="1" w:styleId="BalloonTextChar">
    <w:name w:val="Balloon Text Char"/>
    <w:basedOn w:val="DefaultParagraphFont"/>
    <w:uiPriority w:val="99"/>
    <w:semiHidden/>
    <w:rsid w:val="00560A9F"/>
    <w:rPr>
      <w:rFonts w:ascii="Lucida Grande" w:hAnsi="Lucida Grande"/>
      <w:sz w:val="18"/>
      <w:szCs w:val="18"/>
    </w:rPr>
  </w:style>
  <w:style w:type="character" w:customStyle="1" w:styleId="BalloonTextChar0">
    <w:name w:val="Balloon Text Char"/>
    <w:basedOn w:val="DefaultParagraphFont"/>
    <w:uiPriority w:val="99"/>
    <w:semiHidden/>
    <w:rsid w:val="00AB48FF"/>
    <w:rPr>
      <w:rFonts w:ascii="Lucida Grande" w:hAnsi="Lucida Grande"/>
      <w:sz w:val="18"/>
      <w:szCs w:val="18"/>
    </w:rPr>
  </w:style>
  <w:style w:type="character" w:customStyle="1" w:styleId="BalloonTextChar2">
    <w:name w:val="Balloon Text Char"/>
    <w:basedOn w:val="DefaultParagraphFont"/>
    <w:uiPriority w:val="99"/>
    <w:semiHidden/>
    <w:rsid w:val="00CF10DC"/>
    <w:rPr>
      <w:rFonts w:ascii="Lucida Grande" w:hAnsi="Lucida Grande" w:cs="Lucida Grande"/>
      <w:sz w:val="18"/>
      <w:szCs w:val="18"/>
    </w:rPr>
  </w:style>
  <w:style w:type="character" w:customStyle="1" w:styleId="BalloonTextChar3">
    <w:name w:val="Balloon Text Char3"/>
    <w:basedOn w:val="DefaultParagraphFont"/>
    <w:uiPriority w:val="99"/>
    <w:semiHidden/>
    <w:rsid w:val="00CF10DC"/>
    <w:rPr>
      <w:rFonts w:ascii="Lucida Grande" w:hAnsi="Lucida Grande" w:cs="Lucida Grande"/>
      <w:sz w:val="18"/>
      <w:szCs w:val="18"/>
    </w:rPr>
  </w:style>
  <w:style w:type="character" w:customStyle="1" w:styleId="BalloonTextChar20">
    <w:name w:val="Balloon Text Char2"/>
    <w:basedOn w:val="DefaultParagraphFont"/>
    <w:uiPriority w:val="99"/>
    <w:semiHidden/>
    <w:rsid w:val="00CF10DC"/>
    <w:rPr>
      <w:rFonts w:ascii="Lucida Grande" w:hAnsi="Lucida Grande" w:cs="Lucida Grande"/>
      <w:sz w:val="18"/>
      <w:szCs w:val="18"/>
    </w:rPr>
  </w:style>
  <w:style w:type="table" w:styleId="TableGrid">
    <w:name w:val="Table Grid"/>
    <w:basedOn w:val="TableNormal"/>
    <w:uiPriority w:val="99"/>
    <w:rsid w:val="00C17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F33EC"/>
    <w:pPr>
      <w:tabs>
        <w:tab w:val="center" w:pos="4680"/>
        <w:tab w:val="right" w:pos="9360"/>
      </w:tabs>
    </w:pPr>
  </w:style>
  <w:style w:type="character" w:customStyle="1" w:styleId="HeaderChar">
    <w:name w:val="Header Char"/>
    <w:basedOn w:val="DefaultParagraphFont"/>
    <w:link w:val="Header"/>
    <w:uiPriority w:val="99"/>
    <w:semiHidden/>
    <w:rsid w:val="009F33EC"/>
  </w:style>
  <w:style w:type="paragraph" w:styleId="Footer">
    <w:name w:val="footer"/>
    <w:basedOn w:val="Normal"/>
    <w:link w:val="FooterChar"/>
    <w:uiPriority w:val="99"/>
    <w:rsid w:val="009F33EC"/>
    <w:pPr>
      <w:tabs>
        <w:tab w:val="center" w:pos="4680"/>
        <w:tab w:val="right" w:pos="9360"/>
      </w:tabs>
    </w:pPr>
  </w:style>
  <w:style w:type="character" w:customStyle="1" w:styleId="FooterChar">
    <w:name w:val="Footer Char"/>
    <w:basedOn w:val="DefaultParagraphFont"/>
    <w:link w:val="Footer"/>
    <w:uiPriority w:val="99"/>
    <w:rsid w:val="009F33EC"/>
  </w:style>
  <w:style w:type="character" w:customStyle="1" w:styleId="BalloonTextChar1">
    <w:name w:val="Balloon Text Char1"/>
    <w:basedOn w:val="DefaultParagraphFont"/>
    <w:link w:val="BalloonText"/>
    <w:uiPriority w:val="99"/>
    <w:semiHidden/>
    <w:rsid w:val="001E1B4E"/>
    <w:rPr>
      <w:rFonts w:ascii="Lucida Grande" w:hAnsi="Lucida Grande" w:cs="Lucida Grande"/>
      <w:sz w:val="18"/>
      <w:szCs w:val="18"/>
    </w:rPr>
  </w:style>
  <w:style w:type="paragraph" w:styleId="FootnoteText">
    <w:name w:val="footnote text"/>
    <w:basedOn w:val="Normal"/>
    <w:link w:val="FootnoteTextChar"/>
    <w:uiPriority w:val="99"/>
    <w:semiHidden/>
    <w:rsid w:val="001E1B4E"/>
  </w:style>
  <w:style w:type="character" w:customStyle="1" w:styleId="FootnoteTextChar">
    <w:name w:val="Footnote Text Char"/>
    <w:basedOn w:val="DefaultParagraphFont"/>
    <w:link w:val="FootnoteText"/>
    <w:uiPriority w:val="99"/>
    <w:semiHidden/>
    <w:rsid w:val="001E1B4E"/>
    <w:rPr>
      <w:sz w:val="24"/>
      <w:szCs w:val="24"/>
    </w:rPr>
  </w:style>
  <w:style w:type="character" w:styleId="FootnoteReference">
    <w:name w:val="footnote reference"/>
    <w:basedOn w:val="DefaultParagraphFont"/>
    <w:uiPriority w:val="99"/>
    <w:semiHidden/>
    <w:rsid w:val="001E1B4E"/>
    <w:rPr>
      <w:vertAlign w:val="superscript"/>
    </w:rPr>
  </w:style>
  <w:style w:type="character" w:styleId="Hyperlink">
    <w:name w:val="Hyperlink"/>
    <w:basedOn w:val="DefaultParagraphFont"/>
    <w:uiPriority w:val="99"/>
    <w:rsid w:val="003B4A01"/>
    <w:rPr>
      <w:color w:val="0000FF"/>
      <w:u w:val="single"/>
    </w:rPr>
  </w:style>
  <w:style w:type="character" w:styleId="FollowedHyperlink">
    <w:name w:val="FollowedHyperlink"/>
    <w:basedOn w:val="DefaultParagraphFont"/>
    <w:uiPriority w:val="99"/>
    <w:semiHidden/>
    <w:rsid w:val="008862C8"/>
    <w:rPr>
      <w:color w:val="800080"/>
      <w:u w:val="single"/>
    </w:rPr>
  </w:style>
  <w:style w:type="paragraph" w:styleId="ListParagraph">
    <w:name w:val="List Paragraph"/>
    <w:basedOn w:val="Normal"/>
    <w:uiPriority w:val="99"/>
    <w:qFormat/>
    <w:rsid w:val="00B52DB0"/>
    <w:pPr>
      <w:ind w:left="720"/>
      <w:contextualSpacing/>
    </w:pPr>
  </w:style>
  <w:style w:type="character" w:customStyle="1" w:styleId="apple-style-span">
    <w:name w:val="apple-style-span"/>
    <w:basedOn w:val="DefaultParagraphFont"/>
    <w:rsid w:val="00630A64"/>
  </w:style>
  <w:style w:type="paragraph" w:styleId="EndnoteText">
    <w:name w:val="endnote text"/>
    <w:basedOn w:val="Normal"/>
    <w:link w:val="EndnoteTextChar"/>
    <w:uiPriority w:val="99"/>
    <w:semiHidden/>
    <w:rsid w:val="00335A10"/>
    <w:rPr>
      <w:sz w:val="20"/>
      <w:szCs w:val="20"/>
    </w:rPr>
  </w:style>
  <w:style w:type="character" w:customStyle="1" w:styleId="EndnoteTextChar">
    <w:name w:val="Endnote Text Char"/>
    <w:basedOn w:val="DefaultParagraphFont"/>
    <w:link w:val="EndnoteText"/>
    <w:uiPriority w:val="99"/>
    <w:rsid w:val="00335A10"/>
  </w:style>
  <w:style w:type="character" w:styleId="EndnoteReference">
    <w:name w:val="endnote reference"/>
    <w:basedOn w:val="DefaultParagraphFont"/>
    <w:uiPriority w:val="99"/>
    <w:semiHidden/>
    <w:rsid w:val="00335A10"/>
    <w:rPr>
      <w:vertAlign w:val="superscript"/>
    </w:rPr>
  </w:style>
  <w:style w:type="paragraph" w:styleId="NormalWeb">
    <w:name w:val="Normal (Web)"/>
    <w:basedOn w:val="Normal"/>
    <w:uiPriority w:val="99"/>
    <w:rsid w:val="00F53DEB"/>
    <w:pPr>
      <w:spacing w:beforeLines="1" w:afterLines="1"/>
    </w:pPr>
    <w:rPr>
      <w:rFonts w:ascii="Times" w:hAnsi="Times" w:cs="Times"/>
      <w:sz w:val="20"/>
      <w:szCs w:val="20"/>
    </w:rPr>
  </w:style>
  <w:style w:type="character" w:styleId="PageNumber">
    <w:name w:val="page number"/>
    <w:basedOn w:val="DefaultParagraphFont"/>
    <w:uiPriority w:val="99"/>
    <w:rsid w:val="008B2BEC"/>
  </w:style>
  <w:style w:type="character" w:styleId="CommentReference">
    <w:name w:val="annotation reference"/>
    <w:basedOn w:val="DefaultParagraphFont"/>
    <w:uiPriority w:val="99"/>
    <w:semiHidden/>
    <w:rsid w:val="00C0270C"/>
    <w:rPr>
      <w:sz w:val="16"/>
      <w:szCs w:val="16"/>
    </w:rPr>
  </w:style>
  <w:style w:type="paragraph" w:styleId="CommentText">
    <w:name w:val="annotation text"/>
    <w:basedOn w:val="Normal"/>
    <w:link w:val="CommentTextChar"/>
    <w:uiPriority w:val="99"/>
    <w:semiHidden/>
    <w:rsid w:val="00C0270C"/>
    <w:rPr>
      <w:sz w:val="20"/>
      <w:szCs w:val="20"/>
    </w:rPr>
  </w:style>
  <w:style w:type="character" w:customStyle="1" w:styleId="CommentTextChar">
    <w:name w:val="Comment Text Char"/>
    <w:basedOn w:val="DefaultParagraphFont"/>
    <w:link w:val="CommentText"/>
    <w:uiPriority w:val="99"/>
    <w:semiHidden/>
    <w:rsid w:val="00CF10DC"/>
    <w:rPr>
      <w:sz w:val="20"/>
      <w:szCs w:val="20"/>
    </w:rPr>
  </w:style>
  <w:style w:type="paragraph" w:styleId="CommentSubject">
    <w:name w:val="annotation subject"/>
    <w:basedOn w:val="CommentText"/>
    <w:next w:val="CommentText"/>
    <w:link w:val="CommentSubjectChar"/>
    <w:uiPriority w:val="99"/>
    <w:semiHidden/>
    <w:rsid w:val="00C0270C"/>
    <w:rPr>
      <w:b/>
      <w:bCs/>
    </w:rPr>
  </w:style>
  <w:style w:type="character" w:customStyle="1" w:styleId="CommentSubjectChar">
    <w:name w:val="Comment Subject Char"/>
    <w:basedOn w:val="CommentTextChar"/>
    <w:link w:val="CommentSubject"/>
    <w:uiPriority w:val="99"/>
    <w:semiHidden/>
    <w:rsid w:val="00CF10DC"/>
    <w:rPr>
      <w:b/>
      <w:bCs/>
      <w:sz w:val="20"/>
      <w:szCs w:val="20"/>
    </w:rPr>
  </w:style>
  <w:style w:type="character" w:customStyle="1" w:styleId="Heading2Char">
    <w:name w:val="Heading 2 Char"/>
    <w:basedOn w:val="DefaultParagraphFont"/>
    <w:link w:val="Heading2"/>
    <w:uiPriority w:val="9"/>
    <w:rsid w:val="00D66C32"/>
    <w:rPr>
      <w:rFonts w:ascii="Times" w:hAnsi="Times"/>
      <w:b/>
      <w:bCs/>
      <w:sz w:val="36"/>
      <w:szCs w:val="36"/>
    </w:rPr>
  </w:style>
  <w:style w:type="character" w:styleId="Strong">
    <w:name w:val="Strong"/>
    <w:basedOn w:val="DefaultParagraphFont"/>
    <w:uiPriority w:val="22"/>
    <w:qFormat/>
    <w:rsid w:val="00D66C32"/>
    <w:rPr>
      <w:b/>
      <w:bCs/>
    </w:rPr>
  </w:style>
  <w:style w:type="paragraph" w:styleId="Revision">
    <w:name w:val="Revision"/>
    <w:hidden/>
    <w:uiPriority w:val="99"/>
    <w:semiHidden/>
    <w:rsid w:val="00847FF6"/>
    <w:rPr>
      <w:sz w:val="24"/>
      <w:szCs w:val="24"/>
    </w:rPr>
  </w:style>
  <w:style w:type="character" w:customStyle="1" w:styleId="apple-converted-space">
    <w:name w:val="apple-converted-space"/>
    <w:basedOn w:val="DefaultParagraphFont"/>
    <w:rsid w:val="00653FA7"/>
  </w:style>
  <w:style w:type="character" w:styleId="Emphasis">
    <w:name w:val="Emphasis"/>
    <w:basedOn w:val="DefaultParagraphFont"/>
    <w:uiPriority w:val="20"/>
    <w:qFormat/>
    <w:rsid w:val="00653FA7"/>
    <w:rPr>
      <w:i/>
      <w:iCs/>
    </w:rPr>
  </w:style>
  <w:style w:type="character" w:customStyle="1" w:styleId="nlmxref-aff">
    <w:name w:val="nlm_xref-aff"/>
    <w:basedOn w:val="DefaultParagraphFont"/>
    <w:rsid w:val="009241D2"/>
  </w:style>
  <w:style w:type="character" w:customStyle="1" w:styleId="Heading1Char">
    <w:name w:val="Heading 1 Char"/>
    <w:basedOn w:val="DefaultParagraphFont"/>
    <w:link w:val="Heading1"/>
    <w:uiPriority w:val="9"/>
    <w:rsid w:val="009241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3B"/>
    <w:rPr>
      <w:sz w:val="24"/>
      <w:szCs w:val="24"/>
    </w:rPr>
  </w:style>
  <w:style w:type="paragraph" w:styleId="Heading1">
    <w:name w:val="heading 1"/>
    <w:basedOn w:val="Normal"/>
    <w:next w:val="Normal"/>
    <w:link w:val="Heading1Char"/>
    <w:uiPriority w:val="9"/>
    <w:qFormat/>
    <w:rsid w:val="009241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6C3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E1B4E"/>
    <w:rPr>
      <w:rFonts w:ascii="Lucida Grande" w:hAnsi="Lucida Grande" w:cs="Lucida Grande"/>
      <w:sz w:val="18"/>
      <w:szCs w:val="18"/>
    </w:rPr>
  </w:style>
  <w:style w:type="character" w:customStyle="1" w:styleId="BalloonTextChar">
    <w:name w:val="Balloon Text Char"/>
    <w:basedOn w:val="DefaultParagraphFont"/>
    <w:uiPriority w:val="99"/>
    <w:semiHidden/>
    <w:rsid w:val="00560A9F"/>
    <w:rPr>
      <w:rFonts w:ascii="Lucida Grande" w:hAnsi="Lucida Grande"/>
      <w:sz w:val="18"/>
      <w:szCs w:val="18"/>
    </w:rPr>
  </w:style>
  <w:style w:type="character" w:customStyle="1" w:styleId="BalloonTextChar0">
    <w:name w:val="Balloon Text Char"/>
    <w:basedOn w:val="DefaultParagraphFont"/>
    <w:uiPriority w:val="99"/>
    <w:semiHidden/>
    <w:rsid w:val="00AB48FF"/>
    <w:rPr>
      <w:rFonts w:ascii="Lucida Grande" w:hAnsi="Lucida Grande"/>
      <w:sz w:val="18"/>
      <w:szCs w:val="18"/>
    </w:rPr>
  </w:style>
  <w:style w:type="character" w:customStyle="1" w:styleId="BalloonTextChar2">
    <w:name w:val="Balloon Text Char"/>
    <w:basedOn w:val="DefaultParagraphFont"/>
    <w:uiPriority w:val="99"/>
    <w:semiHidden/>
    <w:rsid w:val="00CF10DC"/>
    <w:rPr>
      <w:rFonts w:ascii="Lucida Grande" w:hAnsi="Lucida Grande" w:cs="Lucida Grande"/>
      <w:sz w:val="18"/>
      <w:szCs w:val="18"/>
    </w:rPr>
  </w:style>
  <w:style w:type="character" w:customStyle="1" w:styleId="BalloonTextChar3">
    <w:name w:val="Balloon Text Char3"/>
    <w:basedOn w:val="DefaultParagraphFont"/>
    <w:uiPriority w:val="99"/>
    <w:semiHidden/>
    <w:rsid w:val="00CF10DC"/>
    <w:rPr>
      <w:rFonts w:ascii="Lucida Grande" w:hAnsi="Lucida Grande" w:cs="Lucida Grande"/>
      <w:sz w:val="18"/>
      <w:szCs w:val="18"/>
    </w:rPr>
  </w:style>
  <w:style w:type="character" w:customStyle="1" w:styleId="BalloonTextChar20">
    <w:name w:val="Balloon Text Char2"/>
    <w:basedOn w:val="DefaultParagraphFont"/>
    <w:uiPriority w:val="99"/>
    <w:semiHidden/>
    <w:rsid w:val="00CF10DC"/>
    <w:rPr>
      <w:rFonts w:ascii="Lucida Grande" w:hAnsi="Lucida Grande" w:cs="Lucida Grande"/>
      <w:sz w:val="18"/>
      <w:szCs w:val="18"/>
    </w:rPr>
  </w:style>
  <w:style w:type="table" w:styleId="TableGrid">
    <w:name w:val="Table Grid"/>
    <w:basedOn w:val="TableNormal"/>
    <w:uiPriority w:val="99"/>
    <w:rsid w:val="00C17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F33EC"/>
    <w:pPr>
      <w:tabs>
        <w:tab w:val="center" w:pos="4680"/>
        <w:tab w:val="right" w:pos="9360"/>
      </w:tabs>
    </w:pPr>
  </w:style>
  <w:style w:type="character" w:customStyle="1" w:styleId="HeaderChar">
    <w:name w:val="Header Char"/>
    <w:basedOn w:val="DefaultParagraphFont"/>
    <w:link w:val="Header"/>
    <w:uiPriority w:val="99"/>
    <w:semiHidden/>
    <w:rsid w:val="009F33EC"/>
  </w:style>
  <w:style w:type="paragraph" w:styleId="Footer">
    <w:name w:val="footer"/>
    <w:basedOn w:val="Normal"/>
    <w:link w:val="FooterChar"/>
    <w:uiPriority w:val="99"/>
    <w:rsid w:val="009F33EC"/>
    <w:pPr>
      <w:tabs>
        <w:tab w:val="center" w:pos="4680"/>
        <w:tab w:val="right" w:pos="9360"/>
      </w:tabs>
    </w:pPr>
  </w:style>
  <w:style w:type="character" w:customStyle="1" w:styleId="FooterChar">
    <w:name w:val="Footer Char"/>
    <w:basedOn w:val="DefaultParagraphFont"/>
    <w:link w:val="Footer"/>
    <w:uiPriority w:val="99"/>
    <w:rsid w:val="009F33EC"/>
  </w:style>
  <w:style w:type="character" w:customStyle="1" w:styleId="BalloonTextChar1">
    <w:name w:val="Balloon Text Char1"/>
    <w:basedOn w:val="DefaultParagraphFont"/>
    <w:link w:val="BalloonText"/>
    <w:uiPriority w:val="99"/>
    <w:semiHidden/>
    <w:rsid w:val="001E1B4E"/>
    <w:rPr>
      <w:rFonts w:ascii="Lucida Grande" w:hAnsi="Lucida Grande" w:cs="Lucida Grande"/>
      <w:sz w:val="18"/>
      <w:szCs w:val="18"/>
    </w:rPr>
  </w:style>
  <w:style w:type="paragraph" w:styleId="FootnoteText">
    <w:name w:val="footnote text"/>
    <w:basedOn w:val="Normal"/>
    <w:link w:val="FootnoteTextChar"/>
    <w:uiPriority w:val="99"/>
    <w:semiHidden/>
    <w:rsid w:val="001E1B4E"/>
  </w:style>
  <w:style w:type="character" w:customStyle="1" w:styleId="FootnoteTextChar">
    <w:name w:val="Footnote Text Char"/>
    <w:basedOn w:val="DefaultParagraphFont"/>
    <w:link w:val="FootnoteText"/>
    <w:uiPriority w:val="99"/>
    <w:semiHidden/>
    <w:rsid w:val="001E1B4E"/>
    <w:rPr>
      <w:sz w:val="24"/>
      <w:szCs w:val="24"/>
    </w:rPr>
  </w:style>
  <w:style w:type="character" w:styleId="FootnoteReference">
    <w:name w:val="footnote reference"/>
    <w:basedOn w:val="DefaultParagraphFont"/>
    <w:uiPriority w:val="99"/>
    <w:semiHidden/>
    <w:rsid w:val="001E1B4E"/>
    <w:rPr>
      <w:vertAlign w:val="superscript"/>
    </w:rPr>
  </w:style>
  <w:style w:type="character" w:styleId="Hyperlink">
    <w:name w:val="Hyperlink"/>
    <w:basedOn w:val="DefaultParagraphFont"/>
    <w:uiPriority w:val="99"/>
    <w:rsid w:val="003B4A01"/>
    <w:rPr>
      <w:color w:val="0000FF"/>
      <w:u w:val="single"/>
    </w:rPr>
  </w:style>
  <w:style w:type="character" w:styleId="FollowedHyperlink">
    <w:name w:val="FollowedHyperlink"/>
    <w:basedOn w:val="DefaultParagraphFont"/>
    <w:uiPriority w:val="99"/>
    <w:semiHidden/>
    <w:rsid w:val="008862C8"/>
    <w:rPr>
      <w:color w:val="800080"/>
      <w:u w:val="single"/>
    </w:rPr>
  </w:style>
  <w:style w:type="paragraph" w:styleId="ListParagraph">
    <w:name w:val="List Paragraph"/>
    <w:basedOn w:val="Normal"/>
    <w:uiPriority w:val="99"/>
    <w:qFormat/>
    <w:rsid w:val="00B52DB0"/>
    <w:pPr>
      <w:ind w:left="720"/>
      <w:contextualSpacing/>
    </w:pPr>
  </w:style>
  <w:style w:type="character" w:customStyle="1" w:styleId="apple-style-span">
    <w:name w:val="apple-style-span"/>
    <w:basedOn w:val="DefaultParagraphFont"/>
    <w:rsid w:val="00630A64"/>
  </w:style>
  <w:style w:type="paragraph" w:styleId="EndnoteText">
    <w:name w:val="endnote text"/>
    <w:basedOn w:val="Normal"/>
    <w:link w:val="EndnoteTextChar"/>
    <w:uiPriority w:val="99"/>
    <w:semiHidden/>
    <w:rsid w:val="00335A10"/>
    <w:rPr>
      <w:sz w:val="20"/>
      <w:szCs w:val="20"/>
    </w:rPr>
  </w:style>
  <w:style w:type="character" w:customStyle="1" w:styleId="EndnoteTextChar">
    <w:name w:val="Endnote Text Char"/>
    <w:basedOn w:val="DefaultParagraphFont"/>
    <w:link w:val="EndnoteText"/>
    <w:uiPriority w:val="99"/>
    <w:rsid w:val="00335A10"/>
  </w:style>
  <w:style w:type="character" w:styleId="EndnoteReference">
    <w:name w:val="endnote reference"/>
    <w:basedOn w:val="DefaultParagraphFont"/>
    <w:uiPriority w:val="99"/>
    <w:semiHidden/>
    <w:rsid w:val="00335A10"/>
    <w:rPr>
      <w:vertAlign w:val="superscript"/>
    </w:rPr>
  </w:style>
  <w:style w:type="paragraph" w:styleId="NormalWeb">
    <w:name w:val="Normal (Web)"/>
    <w:basedOn w:val="Normal"/>
    <w:uiPriority w:val="99"/>
    <w:rsid w:val="00F53DEB"/>
    <w:pPr>
      <w:spacing w:beforeLines="1" w:afterLines="1"/>
    </w:pPr>
    <w:rPr>
      <w:rFonts w:ascii="Times" w:hAnsi="Times" w:cs="Times"/>
      <w:sz w:val="20"/>
      <w:szCs w:val="20"/>
    </w:rPr>
  </w:style>
  <w:style w:type="character" w:styleId="PageNumber">
    <w:name w:val="page number"/>
    <w:basedOn w:val="DefaultParagraphFont"/>
    <w:uiPriority w:val="99"/>
    <w:rsid w:val="008B2BEC"/>
  </w:style>
  <w:style w:type="character" w:styleId="CommentReference">
    <w:name w:val="annotation reference"/>
    <w:basedOn w:val="DefaultParagraphFont"/>
    <w:uiPriority w:val="99"/>
    <w:semiHidden/>
    <w:rsid w:val="00C0270C"/>
    <w:rPr>
      <w:sz w:val="16"/>
      <w:szCs w:val="16"/>
    </w:rPr>
  </w:style>
  <w:style w:type="paragraph" w:styleId="CommentText">
    <w:name w:val="annotation text"/>
    <w:basedOn w:val="Normal"/>
    <w:link w:val="CommentTextChar"/>
    <w:uiPriority w:val="99"/>
    <w:semiHidden/>
    <w:rsid w:val="00C0270C"/>
    <w:rPr>
      <w:sz w:val="20"/>
      <w:szCs w:val="20"/>
    </w:rPr>
  </w:style>
  <w:style w:type="character" w:customStyle="1" w:styleId="CommentTextChar">
    <w:name w:val="Comment Text Char"/>
    <w:basedOn w:val="DefaultParagraphFont"/>
    <w:link w:val="CommentText"/>
    <w:uiPriority w:val="99"/>
    <w:semiHidden/>
    <w:rsid w:val="00CF10DC"/>
    <w:rPr>
      <w:sz w:val="20"/>
      <w:szCs w:val="20"/>
    </w:rPr>
  </w:style>
  <w:style w:type="paragraph" w:styleId="CommentSubject">
    <w:name w:val="annotation subject"/>
    <w:basedOn w:val="CommentText"/>
    <w:next w:val="CommentText"/>
    <w:link w:val="CommentSubjectChar"/>
    <w:uiPriority w:val="99"/>
    <w:semiHidden/>
    <w:rsid w:val="00C0270C"/>
    <w:rPr>
      <w:b/>
      <w:bCs/>
    </w:rPr>
  </w:style>
  <w:style w:type="character" w:customStyle="1" w:styleId="CommentSubjectChar">
    <w:name w:val="Comment Subject Char"/>
    <w:basedOn w:val="CommentTextChar"/>
    <w:link w:val="CommentSubject"/>
    <w:uiPriority w:val="99"/>
    <w:semiHidden/>
    <w:rsid w:val="00CF10DC"/>
    <w:rPr>
      <w:b/>
      <w:bCs/>
      <w:sz w:val="20"/>
      <w:szCs w:val="20"/>
    </w:rPr>
  </w:style>
  <w:style w:type="character" w:customStyle="1" w:styleId="Heading2Char">
    <w:name w:val="Heading 2 Char"/>
    <w:basedOn w:val="DefaultParagraphFont"/>
    <w:link w:val="Heading2"/>
    <w:uiPriority w:val="9"/>
    <w:rsid w:val="00D66C32"/>
    <w:rPr>
      <w:rFonts w:ascii="Times" w:hAnsi="Times"/>
      <w:b/>
      <w:bCs/>
      <w:sz w:val="36"/>
      <w:szCs w:val="36"/>
    </w:rPr>
  </w:style>
  <w:style w:type="character" w:styleId="Strong">
    <w:name w:val="Strong"/>
    <w:basedOn w:val="DefaultParagraphFont"/>
    <w:uiPriority w:val="22"/>
    <w:qFormat/>
    <w:rsid w:val="00D66C32"/>
    <w:rPr>
      <w:b/>
      <w:bCs/>
    </w:rPr>
  </w:style>
  <w:style w:type="paragraph" w:styleId="Revision">
    <w:name w:val="Revision"/>
    <w:hidden/>
    <w:uiPriority w:val="99"/>
    <w:semiHidden/>
    <w:rsid w:val="00847FF6"/>
    <w:rPr>
      <w:sz w:val="24"/>
      <w:szCs w:val="24"/>
    </w:rPr>
  </w:style>
  <w:style w:type="character" w:customStyle="1" w:styleId="apple-converted-space">
    <w:name w:val="apple-converted-space"/>
    <w:basedOn w:val="DefaultParagraphFont"/>
    <w:rsid w:val="00653FA7"/>
  </w:style>
  <w:style w:type="character" w:styleId="Emphasis">
    <w:name w:val="Emphasis"/>
    <w:basedOn w:val="DefaultParagraphFont"/>
    <w:uiPriority w:val="20"/>
    <w:qFormat/>
    <w:rsid w:val="00653FA7"/>
    <w:rPr>
      <w:i/>
      <w:iCs/>
    </w:rPr>
  </w:style>
  <w:style w:type="character" w:customStyle="1" w:styleId="nlmxref-aff">
    <w:name w:val="nlm_xref-aff"/>
    <w:basedOn w:val="DefaultParagraphFont"/>
    <w:rsid w:val="009241D2"/>
  </w:style>
  <w:style w:type="character" w:customStyle="1" w:styleId="Heading1Char">
    <w:name w:val="Heading 1 Char"/>
    <w:basedOn w:val="DefaultParagraphFont"/>
    <w:link w:val="Heading1"/>
    <w:uiPriority w:val="9"/>
    <w:rsid w:val="009241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696">
      <w:bodyDiv w:val="1"/>
      <w:marLeft w:val="0"/>
      <w:marRight w:val="0"/>
      <w:marTop w:val="0"/>
      <w:marBottom w:val="0"/>
      <w:divBdr>
        <w:top w:val="none" w:sz="0" w:space="0" w:color="auto"/>
        <w:left w:val="none" w:sz="0" w:space="0" w:color="auto"/>
        <w:bottom w:val="none" w:sz="0" w:space="0" w:color="auto"/>
        <w:right w:val="none" w:sz="0" w:space="0" w:color="auto"/>
      </w:divBdr>
    </w:div>
    <w:div w:id="654913645">
      <w:bodyDiv w:val="1"/>
      <w:marLeft w:val="0"/>
      <w:marRight w:val="0"/>
      <w:marTop w:val="0"/>
      <w:marBottom w:val="0"/>
      <w:divBdr>
        <w:top w:val="none" w:sz="0" w:space="0" w:color="auto"/>
        <w:left w:val="none" w:sz="0" w:space="0" w:color="auto"/>
        <w:bottom w:val="none" w:sz="0" w:space="0" w:color="auto"/>
        <w:right w:val="none" w:sz="0" w:space="0" w:color="auto"/>
      </w:divBdr>
    </w:div>
    <w:div w:id="754672247">
      <w:bodyDiv w:val="1"/>
      <w:marLeft w:val="0"/>
      <w:marRight w:val="0"/>
      <w:marTop w:val="0"/>
      <w:marBottom w:val="0"/>
      <w:divBdr>
        <w:top w:val="none" w:sz="0" w:space="0" w:color="auto"/>
        <w:left w:val="none" w:sz="0" w:space="0" w:color="auto"/>
        <w:bottom w:val="none" w:sz="0" w:space="0" w:color="auto"/>
        <w:right w:val="none" w:sz="0" w:space="0" w:color="auto"/>
      </w:divBdr>
    </w:div>
    <w:div w:id="1155609136">
      <w:bodyDiv w:val="1"/>
      <w:marLeft w:val="0"/>
      <w:marRight w:val="0"/>
      <w:marTop w:val="0"/>
      <w:marBottom w:val="0"/>
      <w:divBdr>
        <w:top w:val="none" w:sz="0" w:space="0" w:color="auto"/>
        <w:left w:val="none" w:sz="0" w:space="0" w:color="auto"/>
        <w:bottom w:val="none" w:sz="0" w:space="0" w:color="auto"/>
        <w:right w:val="none" w:sz="0" w:space="0" w:color="auto"/>
      </w:divBdr>
    </w:div>
    <w:div w:id="1162548581">
      <w:marLeft w:val="0"/>
      <w:marRight w:val="0"/>
      <w:marTop w:val="0"/>
      <w:marBottom w:val="0"/>
      <w:divBdr>
        <w:top w:val="none" w:sz="0" w:space="0" w:color="auto"/>
        <w:left w:val="none" w:sz="0" w:space="0" w:color="auto"/>
        <w:bottom w:val="none" w:sz="0" w:space="0" w:color="auto"/>
        <w:right w:val="none" w:sz="0" w:space="0" w:color="auto"/>
      </w:divBdr>
    </w:div>
    <w:div w:id="1989899454">
      <w:bodyDiv w:val="1"/>
      <w:marLeft w:val="0"/>
      <w:marRight w:val="0"/>
      <w:marTop w:val="0"/>
      <w:marBottom w:val="0"/>
      <w:divBdr>
        <w:top w:val="none" w:sz="0" w:space="0" w:color="auto"/>
        <w:left w:val="none" w:sz="0" w:space="0" w:color="auto"/>
        <w:bottom w:val="none" w:sz="0" w:space="0" w:color="auto"/>
        <w:right w:val="none" w:sz="0" w:space="0" w:color="auto"/>
      </w:divBdr>
      <w:divsChild>
        <w:div w:id="60916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ites.google.com/site/tbrambor/pa_final.pdf?attredirects=0" TargetMode="Externa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home.uchicago.edu/bdm/PDF/adverseterror.pdf" TargetMode="External"/><Relationship Id="rId11" Type="http://schemas.openxmlformats.org/officeDocument/2006/relationships/hyperlink" Target="http://www.humanrightsdata.org" TargetMode="External"/><Relationship Id="rId12" Type="http://schemas.openxmlformats.org/officeDocument/2006/relationships/hyperlink" Target="http://faculty.ucmerced.edu/cconrad2/Academic/ITT_Data_Collection.html" TargetMode="External"/><Relationship Id="rId13" Type="http://schemas.openxmlformats.org/officeDocument/2006/relationships/hyperlink" Target="http://faculty.ucmerced.edu/cconrad2/Academic/Data" TargetMode="External"/><Relationship Id="rId14" Type="http://schemas.openxmlformats.org/officeDocument/2006/relationships/hyperlink" Target="http://www.utdallas.edu/~lck016000/PRQ%202002%20Constitutions.pdf" TargetMode="External"/><Relationship Id="rId15" Type="http://schemas.openxmlformats.org/officeDocument/2006/relationships/hyperlink" Target="http://www.prnewswire.com/news-releases/newsweek-poll-americans-are-mixed-on-us-muslims-52756242.html" TargetMode="External"/><Relationship Id="rId16" Type="http://schemas.openxmlformats.org/officeDocument/2006/relationships/hyperlink" Target="http://www.jamesron.com/Publications/Ron1997.pdf" TargetMode="External"/><Relationship Id="rId17" Type="http://schemas.openxmlformats.org/officeDocument/2006/relationships/hyperlink" Target="http://journals.cambridge.org/action/displayJournal?jid=INO" TargetMode="External"/><Relationship Id="rId18" Type="http://schemas.openxmlformats.org/officeDocument/2006/relationships/hyperlink" Target="http://data.worldbank.org/" TargetMode="External"/><Relationship Id="rId19" Type="http://schemas.openxmlformats.org/officeDocument/2006/relationships/image" Target="media/image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45D1-BAEB-EF43-98E5-9788C642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10510</Words>
  <Characters>59911</Characters>
  <Application>Microsoft Macintosh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Who Tortures the Terrorists</vt:lpstr>
    </vt:vector>
  </TitlesOfParts>
  <Company>College of the Liberal Arts</Company>
  <LinksUpToDate>false</LinksUpToDate>
  <CharactersWithSpaces>70281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Tortures the Terrorists</dc:title>
  <dc:creator>jpiazza;jconrad;cconrad</dc:creator>
  <cp:lastModifiedBy>Courtenay Conrad</cp:lastModifiedBy>
  <cp:revision>2</cp:revision>
  <cp:lastPrinted>2013-03-14T21:30:00Z</cp:lastPrinted>
  <dcterms:created xsi:type="dcterms:W3CDTF">2014-03-20T20:19:00Z</dcterms:created>
  <dcterms:modified xsi:type="dcterms:W3CDTF">2014-03-20T20:19:00Z</dcterms:modified>
</cp:coreProperties>
</file>